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widowControl/>
      </w:pPr>
      <w:r>
        <w:t xml:space="preserve">4.9 CRISPR ilə genlərin dəyişdirilməsi</w:t>
      </w:r>
    </w:p>
    <w:p>
      <w:pPr>
        <w:keepNext/>
        <w:widowControl/>
      </w:pPr>
      <w:r>
        <w:rPr>
          <w:sz w:val="20"/>
        </w:rPr>
        <w:t>4 Tibb biologiya və ictimai səhiyyə</w:t>
      </w:r>
    </w:p>
    <w:p>
      <w:pPr>
        <w:keepNext/>
        <w:widowControl/>
      </w:pPr>
      <w:r>
        <w:rPr>
          <w:sz w:val="20"/>
        </w:rPr>
        <w:t>Dövr: 2012-ci il — CRISPR-Cas9 sisteminin genetik redaktə üçün uyğunlaşdırılması; 2020-ci illər — ilk təsdiqlənmiş müalicələrin tətbiqi | Əsas şəxslər: Cennifer Dudna və Emmanuel Şarpantye — 2020-ci il kimya üzrə Nobel mükafatı laureatları; Fenq Canq və paralel tədqiqatlar aparan digər alimlər</w:t>
      </w:r>
    </w:p>
    <w:p>
      <w:pPr>
        <w:widowControl/>
      </w:pPr>
      <w:r>
        <w:t>CRISPR genetik materialda məqsədli dəyişiklik etməyə imkan verən texnologiyadır. Onun geniş istifadə olunan CRISPR-Cas9 variantında istiqamətləndirici molekul kəsici zülalı DNT-nin seçilmiş hissəsinə aparır. Bu üsul bir çox genetik dəyişikliyi əvvəlki vasitələrlə müqayisədə daha sürətli və daha az xərclə etməyə imkan verdi.</w:t>
      </w:r>
    </w:p>
    <w:p>
      <w:pPr>
        <w:pStyle w:val="Heading1"/>
        <w:widowControl/>
      </w:pPr>
      <w:r>
        <w:t>Əsas məlumatlar</w:t>
      </w:r>
    </w:p>
    <w:p>
      <w:pPr>
        <w:pStyle w:val="ListBullet"/>
        <w:widowControl/>
      </w:pPr>
      <w:r>
        <w:t>Fransisko Moxika və başqa alimlərin araşdırmaları CRISPR-in mikroorqanizmlərin viruslardan müdafiəsindəki rolunun anlaşılmasına kömək etdi.</w:t>
      </w:r>
    </w:p>
    <w:p>
      <w:pPr>
        <w:pStyle w:val="ListBullet"/>
        <w:widowControl/>
      </w:pPr>
      <w:r>
        <w:t>Emmanuel Şarpantye və Cennifer Dudnanın tədqiqat qrupları 2012-ci ildə Cas9 zülalını seçilmiş DNT hissəsini kəsməyə yönəltməyin mümkün olduğunu göstərdilər.</w:t>
      </w:r>
    </w:p>
    <w:p>
      <w:pPr>
        <w:pStyle w:val="ListBullet"/>
        <w:widowControl/>
      </w:pPr>
      <w:r>
        <w:t>Fenq Canq və digər alimlər sistemi insan və başqa məməlilərin hüceyrələrində istifadə üçün uyğunlaşdırdılar.</w:t>
      </w:r>
    </w:p>
    <w:p>
      <w:pPr>
        <w:pStyle w:val="ListBullet"/>
        <w:widowControl/>
      </w:pPr>
      <w:r>
        <w:t>İstiqamətləndirici RNT molekulu kəsici zülalın DNT-də hansı hissəyə yönələcəyini müəyyənləşdirir.</w:t>
      </w:r>
    </w:p>
    <w:p>
      <w:pPr>
        <w:pStyle w:val="ListBullet"/>
        <w:widowControl/>
      </w:pPr>
      <w:r>
        <w:t>Bu texnologiya yeni müalicə imkanları yaradır. Lakin xüsusilə gələcək nəsillərə ötürülə bilən dəyişikliklər ciddi elmi və etik nəzarət tələb edir.</w:t>
      </w:r>
    </w:p>
    <w:p>
      <w:pPr>
        <w:pStyle w:val="Heading1"/>
        <w:widowControl/>
      </w:pPr>
      <w:r>
        <w:t>Bu nədir?</w:t>
      </w:r>
    </w:p>
    <w:p>
      <w:pPr>
        <w:pStyle w:val="Heading1"/>
        <w:widowControl/>
      </w:pPr>
      <w:r>
        <w:t>CRISPR adı mikroorqanizmlərin DNT-sində müəyyən aralıqlarla yerləşən qısa, təkrarlanan ardıcıllıqları bildirən ingiliscə sözlərin qısaltmasıdır. Bu ardıcıllıqlar onlarla əlaqəli Cas zülalları ilə birlikdə bəzi bakteriyaların və digər mikroorqanizmlərin müdafiə sistemində iştirak edir.</w:t>
      </w:r>
    </w:p>
    <w:p>
      <w:pPr>
        <w:pStyle w:val="Heading1"/>
        <w:widowControl/>
      </w:pPr>
      <w:r>
        <w:t>Mikroorqanizm ona hücum etmiş virusun genetik materialından kiçik parçalar saxlayır. Bunlar sonrakı hücum zamanı virusu tanımağa kömək edir.</w:t>
      </w:r>
    </w:p>
    <w:p>
      <w:pPr>
        <w:pStyle w:val="Heading1"/>
        <w:widowControl/>
      </w:pPr>
      <w:r>
        <w:t>Alimlər həmin müdafiə mexanizmini genetik redaktə üçün uyğunlaşdırıblar. CRISPR-Cas9 üsulunda qısa istiqamətləndirici RNT — ribonuklein turşusu — Cas9 zülalını DNT-nin, yəni dezoksiribonuklein turşusunun seçilmiş hissəsinə yönəldir. Cas9 burada kəsik yaradır. Hüceyrə kəsiyi bərpa edərkən DNT ardıcıllığında dəyişiklik yarana bilər. Müəyyən şəraitdə tədqiqatçının təqdim etdiyi nümunəyə uyğun dəyişiklik də edilə bilər.</w:t>
      </w:r>
    </w:p>
    <w:p>
      <w:pPr>
        <w:pStyle w:val="Heading1"/>
        <w:widowControl/>
      </w:pPr>
      <w:r>
        <w:t>Bunu genetik mətndə müəyyən yeri tapıb orada düzəliş etməyə bənzətmək olar. Lakin nəticə mətn redaktorundakı qədər sadə və zəmanətli deyil: həm kəsilməni, həm də hüceyrənin apardığı bərpanın nəticəsini yoxlamaq lazımdır.</w:t>
      </w:r>
    </w:p>
    <w:p>
      <w:pPr>
        <w:pStyle w:val="Heading1"/>
        <w:widowControl/>
      </w:pPr>
      <w:r>
        <w:t>Kim yaradıb?</w:t>
      </w:r>
    </w:p>
    <w:p>
      <w:pPr>
        <w:pStyle w:val="Heading1"/>
        <w:widowControl/>
      </w:pPr>
      <w:r>
        <w:t>CRISPR texnologiyası uzun illər aparılan fundamental tədqiqatlardan yaranıb. Fransisko Moxika və başqa mikrobioloqlar təkrarlanan DNT ardıcıllıqlarını araşdıraraq onların mikroorqanizmlərin müdafiəsindəki rolunun anlaşılmasına töhfə verdilər.</w:t>
      </w:r>
    </w:p>
    <w:p>
      <w:pPr>
        <w:pStyle w:val="Heading1"/>
        <w:widowControl/>
      </w:pPr>
      <w:r>
        <w:t>2012-ci ildə Emmanuel Şarpantye və Cennifer Dudnanın qrupları RNT vasitəsilə Cas9 zülalını seçilmiş DNT hissəsini kəsməyə yönəltməyin mümkün olduğunu göstərdilər. Tezliklə Fenq Canq, Corc Çerç və digər tədqiqatçılar bu üsulla məməli hüceyrələrində genetik dəyişikliklər etdilər.</w:t>
      </w:r>
    </w:p>
    <w:p>
      <w:pPr>
        <w:pStyle w:val="Heading1"/>
        <w:widowControl/>
      </w:pPr>
      <w:r>
        <w:t>Sonralar texnologiyaya dair patent hüquqları üstündə mübahisələr yarandı. Bununla belə, CRISPR-in inkişafı bir şirkətin və ya bir laboratoriyanın işi ilə məhdudlaşmır. Bu nailiyyət onilliklər ərzində müxtəlif alimlərin topladığı biliklərə əsaslanır.</w:t>
      </w:r>
    </w:p>
    <w:p>
      <w:pPr>
        <w:pStyle w:val="Heading1"/>
        <w:widowControl/>
      </w:pPr>
      <w:r>
        <w:t>Nə vaxt və necə yaranıb?</w:t>
      </w:r>
    </w:p>
    <w:p>
      <w:pPr>
        <w:pStyle w:val="Heading1"/>
        <w:widowControl/>
      </w:pPr>
      <w:r>
        <w:t>CRISPR-i genetik redaktə vasitəsinə çevirən əsas işlər 2010-cu illərin əvvəlində dərc olundu. Bundan əvvəl isə mikroorqanizmlərin genetik quruluşu uzun illər araşdırılmışdı.</w:t>
      </w:r>
    </w:p>
    <w:p>
      <w:pPr>
        <w:pStyle w:val="Heading1"/>
        <w:widowControl/>
      </w:pPr>
      <w:r>
        <w:t>Genetik materialı dəyişmək üçün başqa vasitələr də mövcud idi. Bunlara sink-barmaq nukleazaları və TALEN adlanan, müəyyən DNT hissəsini tanıyıb kəsən zülal sistemləri daxil idi. TALEN adı «transkripsiya aktivatoruna bənzər effektor nukleazalar» ifadəsinin ingiliscə qısaltmasıdır. Bu vasitələri hər yeni hədəfə uyğunlaşdırmaq adətən daha çox vaxt və xərc tələb edirdi.</w:t>
      </w:r>
    </w:p>
    <w:p>
      <w:pPr>
        <w:pStyle w:val="Heading1"/>
        <w:widowControl/>
      </w:pPr>
      <w:r>
        <w:t>CRISPR-də isə yeni hədəf üçün istiqamətləndirici RNT-ni dəyişmək bir çox işi asanlaşdırdı. DNT sintezinin ucuzlaşması, genetik ardıcıllıqların daha sürətli oxunması və tədqiqat üsullarının paylaşılması texnologiyanın laboratoriyalarda yayılmasını sürətləndirdi.</w:t>
      </w:r>
    </w:p>
    <w:p>
      <w:pPr>
        <w:pStyle w:val="Heading1"/>
        <w:widowControl/>
      </w:pPr>
      <w:r>
        <w:t>Beləliklə, əvvəllər daha çox vəsait və xüsusi hazırlıq tələb edən bəzi təcrübələri daha çox tədqiqat qrupu aparmağa başladı.</w:t>
      </w:r>
    </w:p>
    <w:p>
      <w:pPr>
        <w:pStyle w:val="Heading1"/>
        <w:widowControl/>
      </w:pPr>
      <w:r>
        <w:t>Elm üçün əhəmiyyəti</w:t>
      </w:r>
    </w:p>
    <w:p>
      <w:pPr>
        <w:pStyle w:val="Heading1"/>
        <w:widowControl/>
      </w:pPr>
      <w:r>
        <w:t>CRISPR genetik materialda məqsədli dəyişiklik etməyi bir çox laboratoriya üçün daha əlçatan etdi. Alim müəyyən genin nə iş gördüyünü öyrənmək üçün onu fəaliyyətsizləşdirə və ya dəyişdirə, sonra hüceyrədə nə baş verdiyini müşahidə edə bilər.</w:t>
      </w:r>
    </w:p>
    <w:p>
      <w:pPr>
        <w:pStyle w:val="Heading1"/>
        <w:widowControl/>
      </w:pPr>
      <w:r>
        <w:t>Tibbdə bu yanaşma bəzi irsi xəstəliklərin müalicəsi üçün xəstənin öz hüceyrələrində dəyişiklik etməyə imkan verir. Məqsəd həmişə xəstəliyə səbəb olan genetik səhvi birbaşa düzəltmək deyil; bəzən başqa bir genin fəaliyyətini dəyişməklə xəstəliyin təsirini azaltmaq mümkündür.</w:t>
      </w:r>
    </w:p>
    <w:p>
      <w:pPr>
        <w:pStyle w:val="Heading1"/>
        <w:widowControl/>
      </w:pPr>
      <w:r>
        <w:t>Kənd təsərrüfatında isə bitkilərdə istənilən xüsusiyyəti yaratmaq üçün daha məqsədli dəyişikliklər etmək olar. Təsadüfi mutasiyalar yaradan bəzi əvvəlki üsullarla müqayisədə bu, əlavə dəyişikliklərin sayını azalda bilər. Yenə də alınan nəticələr yoxlanmalıdır.</w:t>
      </w:r>
    </w:p>
    <w:p>
      <w:pPr>
        <w:pStyle w:val="Heading1"/>
        <w:widowControl/>
      </w:pPr>
      <w:r>
        <w:t>CRISPR-in əsas üstünlüyü hər problemi həll etməsi deyil, genetik tədqiqatı daha sürətli, çevik və məqsədyönlü aparmağa imkan verməsidir.</w:t>
      </w:r>
    </w:p>
    <w:p>
      <w:pPr>
        <w:pStyle w:val="Heading1"/>
        <w:widowControl/>
      </w:pPr>
      <w:r>
        <w:t>Sonrakı inkişafa təsiri</w:t>
      </w:r>
    </w:p>
    <w:p>
      <w:pPr>
        <w:pStyle w:val="Heading1"/>
        <w:widowControl/>
      </w:pPr>
      <w:r>
        <w:t>CRISPR əsasında daha fərqli redaktə vasitələri də hazırlanıb. Baza redaktəsi DNT-nin ayrı-ayrı «hərflərini» — azotlu əsaslarını — dəyişməyə imkan verir. Praym redaktəsi isə müəyyən kiçik əvəzləmələr, əlavələr və silinmələr etmək üçün istifadə olunur. Bu üsullar adətən DNT-nin hər iki zəncirini birlikdə kəsmədən işləyir. Lakin bu xüsusiyyət onların tam risksiz olması demək deyil.</w:t>
      </w:r>
    </w:p>
    <w:p>
      <w:pPr>
        <w:pStyle w:val="Heading1"/>
        <w:widowControl/>
      </w:pPr>
      <w:r>
        <w:t>CRISPR artıq bəzi müalicələrdə tətbiq olunur. Məsələn, ABŞ-da 2023-cü ildə oraqvari hüceyrə xəstəliyi üçün CRISPR-Cas9-dan istifadə edən ilk müalicə təsdiqləndi. Bu üsulda xəstənin qan yaradan kök hüceyrələri bədəndən kənarda dəyişdirilir və sonra ona qaytarılır. FDA-nın müalicənin təsdiqi haqqında məlumatı</w:t>
      </w:r>
    </w:p>
    <w:p>
      <w:pPr>
        <w:pStyle w:val="Heading1"/>
        <w:widowControl/>
      </w:pPr>
      <w:r>
        <w:t>Belə müalicələr bədən hüceyrələrinə yönəlir. Onları embrionlarda və ya yumurta və spermatozoid kimi cinsi hüceyrələrdə edilən, gələcək nəsillərə keçə biləcək dəyişikliklərdən fərqləndirmək vacibdir.</w:t>
      </w:r>
    </w:p>
    <w:p>
      <w:pPr>
        <w:pStyle w:val="Heading1"/>
        <w:widowControl/>
      </w:pPr>
      <w:r>
        <w:t>2018-ci ildə genləri redaktə edilmiş körpələrin doğulduğu barədə elan geniş etiraz doğurdu. Bu hadisə təhlükəsizliyin, razılığın və nəzarətin nə qədər vacib olduğunu göstərdi. DNT-nin nəzərdə tutulmayan hissələrində dəyişikliklərin yaranması, redaktə vasitələrinin lazımi toxumaya təhlükəsiz çatdırılması və aydın tətbiq qaydaları əsas məsələlər olaraq qalır.</w:t>
      </w:r>
    </w:p>
    <w:p>
      <w:pPr>
        <w:pStyle w:val="Heading1"/>
        <w:widowControl/>
      </w:pPr>
      <w:r>
        <w:t>İnsan həyatını necə dəyişib?</w:t>
      </w:r>
    </w:p>
    <w:p>
      <w:pPr>
        <w:pStyle w:val="Heading1"/>
        <w:widowControl/>
      </w:pPr>
      <w:r>
        <w:t>CRISPR bəzi xəstələr üçün əvvəllər mövcud olmayan müalicə imkanları yaradıb. Başqa xəstəliklərə qarşı tətbiqləri isə hələ araşdırılır.</w:t>
      </w:r>
    </w:p>
    <w:p>
      <w:pPr>
        <w:pStyle w:val="Heading1"/>
        <w:widowControl/>
      </w:pPr>
      <w:r>
        <w:t>Eyni zamanda cəmiyyət çətin suallarla üzləşir: gələcək nəsillərə ötürülə bilən hansı dəyişikliklərə yol verilə bilər? Hələ doğulmamış və razılıq verə bilməyən uşaqların maraqları necə qorunmalıdır?</w:t>
      </w:r>
    </w:p>
    <w:p>
      <w:pPr>
        <w:pStyle w:val="Heading1"/>
        <w:widowControl/>
      </w:pPr>
      <w:r>
        <w:t>Müalicənin qiyməti və ona çıxış imkanı da mühümdür. Laboratoriyada genetik dəyişiklik etmək asanlaşsa da, təhlükəsiz müalicə hazırlamaq və onu xəstəyə çatdırmaq baha başa gələ bilər.</w:t>
      </w:r>
    </w:p>
    <w:p>
      <w:pPr>
        <w:pStyle w:val="Heading1"/>
        <w:widowControl/>
      </w:pPr>
      <w:r>
        <w:t>CRISPR-in insanlara nə qədər fayda verəcəyi onun necə, hansı məqsədlə və hansı nəzarət altında tətbiq olunmasından asılıdır. Bu sahədə irəliləyiş yalnız nəyi edə bildiyimizlə deyil, nəyi etməyin doğru və təhlükəsiz olduğunu müəyyənləşdirməklə də ölçülür.</w:t>
      </w:r>
    </w:p>
    <w:p>
      <w:pPr>
        <w:pStyle w:val="Heading1"/>
        <w:widowControl/>
      </w:pPr>
      <w:r>
        <w:t>Mənbələr və istinadlar</w:t>
      </w:r>
    </w:p>
    <w:p>
      <w:pPr>
        <w:pStyle w:val="Heading2"/>
        <w:widowControl/>
      </w:pPr>
      <w:r>
        <w:rPr>
          <w:sz w:val="20"/>
        </w:rPr>
        <w:t>Rəy verilmiş məqalələr və orijinal elmi işlər</w:t>
      </w:r>
    </w:p>
    <w:p>
      <w:pPr>
        <w:widowControl/>
      </w:pPr>
      <w:r>
        <w:rPr>
          <w:sz w:val="20"/>
        </w:rPr>
        <w:t xml:space="preserve">1. Jinek, Martin, et al. 'A Programmable Dual-RNA-Guided DNA Endonuclease in Adaptive Bacterial Immunity.' Science 337 (2012): 816–821. </w:t>
      </w:r>
      <w:hyperlink r:id="rId9">
        <w:r>
          <w:rPr>
            <w:sz w:val="20"/>
          </w:rPr>
          <w:t>https://pubmed.ncbi.nlm.nih.gov/22723414/</w:t>
        </w:r>
      </w:hyperlink>
      <w:r>
        <w:rPr>
          <w:sz w:val="20"/>
        </w:rPr>
      </w:r>
    </w:p>
    <w:p>
      <w:pPr>
        <w:widowControl/>
      </w:pPr>
      <w:r>
        <w:rPr>
          <w:sz w:val="20"/>
        </w:rPr>
        <w:t xml:space="preserve">2. Cong, Le, et al. 'Multiplex Genome Engineering Using CRISPR/Cas Systems.' Science 339 (2013): 819–823. </w:t>
      </w:r>
      <w:hyperlink r:id="rId10">
        <w:r>
          <w:rPr>
            <w:sz w:val="20"/>
          </w:rPr>
          <w:t>https://pubmed.ncbi.nlm.nih.gov/23287718/</w:t>
        </w:r>
      </w:hyperlink>
      <w:r>
        <w:rPr>
          <w:sz w:val="20"/>
        </w:rPr>
      </w:r>
    </w:p>
    <w:p>
      <w:pPr>
        <w:pStyle w:val="Heading2"/>
        <w:widowControl/>
      </w:pPr>
      <w:r>
        <w:rPr>
          <w:sz w:val="20"/>
        </w:rPr>
        <w:t>Qurumların materialları və ensiklopedik mənbələr</w:t>
      </w:r>
    </w:p>
    <w:p>
      <w:pPr>
        <w:widowControl/>
      </w:pPr>
      <w:r>
        <w:rPr>
          <w:sz w:val="20"/>
        </w:rPr>
        <w:t xml:space="preserve">1. National Human Genome Research Institute. 'CRISPR.' </w:t>
      </w:r>
      <w:hyperlink r:id="rId11">
        <w:r>
          <w:rPr>
            <w:sz w:val="20"/>
          </w:rPr>
          <w:t>https://www.genome.gov/genetics-glossary/CRISPR</w:t>
        </w:r>
      </w:hyperlink>
      <w:r>
        <w:rPr>
          <w:sz w:val="20"/>
        </w:rPr>
      </w:r>
    </w:p>
    <w:p>
      <w:pPr>
        <w:widowControl/>
      </w:pPr>
      <w:r>
        <w:rPr>
          <w:sz w:val="20"/>
        </w:rPr>
        <w:t xml:space="preserve">2. Encyclopaedia Britannica. 'CRISPR.' </w:t>
      </w:r>
      <w:hyperlink r:id="rId12">
        <w:r>
          <w:rPr>
            <w:sz w:val="20"/>
          </w:rPr>
          <w:t>https://www.britannica.com/topic/CRISPR</w:t>
        </w:r>
      </w:hyperlink>
      <w:r>
        <w:rPr>
          <w:sz w:val="20"/>
        </w:rPr>
      </w:r>
    </w:p>
    <w:p>
      <w:pPr>
        <w:pStyle w:val="Heading2"/>
        <w:widowControl/>
      </w:pPr>
      <w:r>
        <w:rPr>
          <w:sz w:val="20"/>
        </w:rPr>
        <w:t>Onlayn mühazirələr və tədris silsilələri</w:t>
      </w:r>
    </w:p>
    <w:p>
      <w:pPr>
        <w:widowControl/>
      </w:pPr>
      <w:r>
        <w:rPr>
          <w:sz w:val="20"/>
        </w:rPr>
        <w:t xml:space="preserve">1. Doudna, Jennifer. 'How CRISPR lets us edit our DNA.' TED. </w:t>
      </w:r>
      <w:hyperlink r:id="rId13">
        <w:r>
          <w:rPr>
            <w:sz w:val="20"/>
          </w:rPr>
          <w:t>https://www.ted.com/talks/jennifer_doudna_how_crispr_lets_us_edit_our_dna</w:t>
        </w:r>
      </w:hyperlink>
      <w:r>
        <w:rPr>
          <w:sz w:val="20"/>
        </w:rPr>
      </w:r>
    </w:p>
    <w:p>
      <w:pPr>
        <w:pStyle w:val="Heading2"/>
        <w:widowControl/>
      </w:pPr>
      <w:r>
        <w:rPr>
          <w:sz w:val="20"/>
        </w:rPr>
        <w:t>Kosmik agentliklər laboratoriyalar və elmi təşkilatlar</w:t>
      </w:r>
    </w:p>
    <w:p>
      <w:pPr>
        <w:widowControl/>
      </w:pPr>
      <w:r>
        <w:rPr>
          <w:sz w:val="20"/>
        </w:rPr>
        <w:t xml:space="preserve">1. Nobel Prize. Chemistry 2020 (Charpentier and Doudna). </w:t>
      </w:r>
      <w:hyperlink r:id="rId14">
        <w:r>
          <w:rPr>
            <w:sz w:val="20"/>
          </w:rPr>
          <w:t>https://www.nobelprize.org/prizes/chemistry/2020/summary/</w:t>
        </w:r>
      </w:hyperlink>
      <w:r>
        <w:rPr>
          <w:sz w:val="20"/>
        </w:rPr>
      </w:r>
    </w:p>
    <w:p>
      <w:pPr>
        <w:widowControl/>
      </w:pPr>
      <w:r>
        <w:rPr>
          <w:sz w:val="20"/>
        </w:rPr>
        <w:t xml:space="preserve">2. U.S. Food and Drug Administration. Casgevy approval announcement (sickle cell disease), 2023. </w:t>
      </w:r>
      <w:hyperlink r:id="rId15">
        <w:r>
          <w:rPr>
            <w:sz w:val="20"/>
          </w:rPr>
          <w:t>https://www.fda.gov/news-events/press-announcements/fda-approves-first-gene-therapies-treat-patients-sickle-cell-disease</w:t>
        </w:r>
      </w:hyperlink>
      <w:r>
        <w:rPr>
          <w:sz w:val="20"/>
        </w:rPr>
      </w:r>
    </w:p>
    <w:sectPr w:rsidR="00FC693F" w:rsidRPr="0006063C" w:rsidSect="00034616">
      <w:footerReference w:type="default" r:id="rId16"/>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45" w:lineRule="auto"/>
    </w:pPr>
    <w:rPr>
      <w:rFonts w:ascii="Times New Roman" w:hAnsi="Times New Roman"/>
      <w:color w:val="000000"/>
      <w:sz w:val="24"/>
      <w:lang w:val="az-Latn-AZ"/>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80" w:line="245" w:lineRule="auto"/>
      <w:outlineLvl w:val="0"/>
    </w:pPr>
    <w:rPr>
      <w:rFonts w:ascii="Times New Roman" w:hAnsi="Times New Roman"/>
      <w:b/>
      <w:bCs/>
      <w:color w:val="000000"/>
      <w:sz w:val="26"/>
      <w:szCs w:val="28"/>
      <w:lang w:val="az-Latn-AZ"/>
    </w:rPr>
  </w:style>
  <w:style w:type="paragraph" w:styleId="Heading2">
    <w:name w:val="heading 2"/>
    <w:basedOn w:val="Normal"/>
    <w:next w:val="Normal"/>
    <w:link w:val="Heading2Char"/>
    <w:uiPriority w:val="9"/>
    <w:unhideWhenUsed/>
    <w:qFormat/>
    <w:rsid w:val="00FC693F"/>
    <w:pPr>
      <w:keepNext/>
      <w:keepLines/>
      <w:spacing w:before="200" w:after="80" w:line="245" w:lineRule="auto"/>
      <w:outlineLvl w:val="1"/>
    </w:pPr>
    <w:rPr>
      <w:rFonts w:ascii="Times New Roman" w:hAnsi="Times New Roman"/>
      <w:b/>
      <w:bCs/>
      <w:color w:val="000000"/>
      <w:sz w:val="26"/>
      <w:szCs w:val="26"/>
      <w:lang w:val="az-Latn-AZ"/>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b/>
      <w:bCs/>
      <w:color w:val="4F81BD" w:themeColor="accent1"/>
      <w:sz w:val="26"/>
      <w:szCs w:val="26"/>
    </w:rPr>
  </w:style>
  <w:style w:type="character" w:customStyle="1" w:styleId="Heading3Char">
    <w:name w:val="Heading 3 Char"/>
    <w:basedOn w:val="DefaultParagraphFont"/>
    <w:link w:val="Heading3"/>
    <w:uiPriority w:val="9"/>
    <w:rsid w:val="00FC693F"/>
    <w:rPr>
      <w:rFonts/>
      <w:b/>
      <w:bCs/>
      <w:color w:val="4F81BD" w:themeColor="accent1"/>
    </w:rPr>
  </w:style>
  <w:style w:type="paragraph" w:styleId="Title">
    <w:name w:val="Title"/>
    <w:basedOn w:val="Normal"/>
    <w:next w:val="Normal"/>
    <w:link w:val="TitleChar"/>
    <w:uiPriority w:val="10"/>
    <w:qFormat/>
    <w:rsid w:val="00FC693F"/>
    <w:pPr>
      <w:spacing w:after="80" w:line="245" w:lineRule="auto"/>
      <w:contextualSpacing/>
    </w:pPr>
    <w:rPr>
      <w:rFonts w:ascii="Times New Roman" w:hAnsi="Times New Roman"/>
      <w:color w:val="000000"/>
      <w:spacing w:val="5"/>
      <w:kern w:val="28"/>
      <w:sz w:val="40"/>
      <w:szCs w:val="52"/>
      <w:lang w:val="az-Latn-AZ"/>
    </w:rPr>
  </w:style>
  <w:style w:type="character" w:customStyle="1" w:styleId="TitleChar">
    <w:name w:val="Title Char"/>
    <w:basedOn w:val="DefaultParagraphFont"/>
    <w:link w:val="Title"/>
    <w:uiPriority w:val="10"/>
    <w:rsid w:val="00FC693F"/>
    <w:rPr>
      <w:rFonts/>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45" w:lineRule="auto"/>
      <w:contextualSpacing/>
    </w:pPr>
    <w:rPr>
      <w:rFonts w:ascii="Times New Roman" w:hAnsi="Times New Roman"/>
      <w:color w:val="000000"/>
      <w:sz w:val="24"/>
      <w:lang w:val="az-Latn-AZ"/>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b/>
      <w:bCs/>
      <w:i/>
      <w:iCs/>
      <w:color w:val="4F81BD" w:themeColor="accent1"/>
    </w:rPr>
  </w:style>
  <w:style w:type="character" w:customStyle="1" w:styleId="Heading5Char">
    <w:name w:val="Heading 5 Char"/>
    <w:basedOn w:val="DefaultParagraphFont"/>
    <w:link w:val="Heading5"/>
    <w:uiPriority w:val="9"/>
    <w:semiHidden/>
    <w:rsid w:val="00FC693F"/>
    <w:rPr>
      <w:rFonts/>
      <w:color w:val="243F60" w:themeColor="accent1" w:themeShade="7F"/>
    </w:rPr>
  </w:style>
  <w:style w:type="character" w:customStyle="1" w:styleId="Heading6Char">
    <w:name w:val="Heading 6 Char"/>
    <w:basedOn w:val="DefaultParagraphFont"/>
    <w:link w:val="Heading6"/>
    <w:uiPriority w:val="9"/>
    <w:semiHidden/>
    <w:rsid w:val="00FC693F"/>
    <w:rPr>
      <w:rFonts/>
      <w:i/>
      <w:iCs/>
      <w:color w:val="243F60" w:themeColor="accent1" w:themeShade="7F"/>
    </w:rPr>
  </w:style>
  <w:style w:type="character" w:customStyle="1" w:styleId="Heading7Char">
    <w:name w:val="Heading 7 Char"/>
    <w:basedOn w:val="DefaultParagraphFont"/>
    <w:link w:val="Heading7"/>
    <w:uiPriority w:val="9"/>
    <w:semiHidden/>
    <w:rsid w:val="00FC693F"/>
    <w:rPr>
      <w:rFonts/>
      <w:i/>
      <w:iCs/>
      <w:color w:val="404040" w:themeColor="text1" w:themeTint="BF"/>
    </w:rPr>
  </w:style>
  <w:style w:type="character" w:customStyle="1" w:styleId="Heading8Char">
    <w:name w:val="Heading 8 Char"/>
    <w:basedOn w:val="DefaultParagraphFont"/>
    <w:link w:val="Heading8"/>
    <w:uiPriority w:val="9"/>
    <w:semiHidden/>
    <w:rsid w:val="00FC693F"/>
    <w:rPr>
      <w:rFonts/>
      <w:color w:val="4F81BD" w:themeColor="accent1"/>
      <w:sz w:val="20"/>
      <w:szCs w:val="20"/>
    </w:rPr>
  </w:style>
  <w:style w:type="character" w:customStyle="1" w:styleId="Heading9Char">
    <w:name w:val="Heading 9 Char"/>
    <w:basedOn w:val="DefaultParagraphFont"/>
    <w:link w:val="Heading9"/>
    <w:uiPriority w:val="9"/>
    <w:semiHidden/>
    <w:rsid w:val="00FC693F"/>
    <w:rPr>
      <w:rFonts/>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b/>
        <w:bCs/>
      </w:rPr>
    </w:tblStylePr>
    <w:tblStylePr w:type="lastCol">
      <w:rPr>
        <w:rFonts/>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b/>
        <w:bCs/>
      </w:rPr>
    </w:tblStylePr>
    <w:tblStylePr w:type="lastCol">
      <w:rPr>
        <w:rFonts/>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b/>
        <w:bCs/>
      </w:rPr>
    </w:tblStylePr>
    <w:tblStylePr w:type="lastCol">
      <w:rPr>
        <w:rFonts/>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b/>
        <w:bCs/>
      </w:rPr>
    </w:tblStylePr>
    <w:tblStylePr w:type="lastCol">
      <w:rPr>
        <w:rFonts/>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b/>
        <w:bCs/>
      </w:rPr>
    </w:tblStylePr>
    <w:tblStylePr w:type="lastCol">
      <w:rPr>
        <w:rFonts/>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b/>
        <w:bCs/>
      </w:rPr>
    </w:tblStylePr>
    <w:tblStylePr w:type="lastCol">
      <w:rPr>
        <w:rFonts/>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b/>
        <w:bCs/>
      </w:rPr>
    </w:tblStylePr>
    <w:tblStylePr w:type="lastCol">
      <w:rPr>
        <w:rFonts/>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pubmed.ncbi.nlm.nih.gov/22723414/" TargetMode="External"/><Relationship Id="rId10" Type="http://schemas.openxmlformats.org/officeDocument/2006/relationships/hyperlink" Target="https://pubmed.ncbi.nlm.nih.gov/23287718/" TargetMode="External"/><Relationship Id="rId11" Type="http://schemas.openxmlformats.org/officeDocument/2006/relationships/hyperlink" Target="https://www.genome.gov/genetics-glossary/CRISPR" TargetMode="External"/><Relationship Id="rId12" Type="http://schemas.openxmlformats.org/officeDocument/2006/relationships/hyperlink" Target="https://www.britannica.com/topic/CRISPR" TargetMode="External"/><Relationship Id="rId13" Type="http://schemas.openxmlformats.org/officeDocument/2006/relationships/hyperlink" Target="https://www.ted.com/talks/jennifer_doudna_how_crispr_lets_us_edit_our_dna" TargetMode="External"/><Relationship Id="rId14" Type="http://schemas.openxmlformats.org/officeDocument/2006/relationships/hyperlink" Target="https://www.nobelprize.org/prizes/chemistry/2020/summary/" TargetMode="External"/><Relationship Id="rId15" Type="http://schemas.openxmlformats.org/officeDocument/2006/relationships/hyperlink" Target="https://www.fda.gov/news-events/press-announcements/fda-approves-first-gene-therapies-treat-patients-sickle-cell-disease" TargetMode="External"/><Relationship Id="rId16"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CRISPR ilə genlərin redaktəsi</dc:title>
  <dc:subject/>
  <dc:creator/>
  <cp:keywords/>
  <dc:description>generated by python-docx</dc:description>
  <cp:lastModifiedBy/>
  <cp:revision>1</cp:revision>
  <dcterms:created xsi:type="dcterms:W3CDTF">2013-12-23T23:15:00Z</dcterms:created>
  <dcterms:modified xsi:type="dcterms:W3CDTF">2013-12-23T23:15:00Z</dcterms:modified>
  <cp:category/>
  <dc:language>az-Latn-AZ</dc:language>
</cp:coreProperties>
</file>