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1.9 The Printing Press</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1440 CE (Gutenberg's movable-type press in Europe); movable type in China c. 1040 CE | Key figure(s): Johannes Gutenberg (Europe); Bi Sheng (China, c. 1040 CE, earlier movable type)</w:t>
      </w:r>
    </w:p>
    <w:p>
      <w:pPr>
        <w:spacing w:after="160" w:line="276" w:lineRule="auto"/>
      </w:pPr>
      <w:r>
        <w:rPr>
          <w:rFonts w:ascii="Calibri" w:hAnsi="Calibri" w:eastAsia="Calibri"/>
          <w:b w:val="0"/>
          <w:i w:val="0"/>
          <w:sz w:val="22"/>
        </w:rPr>
        <w:t>A printing press with movable metal type can copy a page many times with far less labour than handwriting. Johannes Gutenberg's workshop in the fifteenth century made books cheaper and ideas harder to contain.</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East Asia used woodblock printing and, in China, movable type centuries earlier</w:t>
      </w:r>
    </w:p>
    <w:p>
      <w:pPr>
        <w:pStyle w:val="ListBullet"/>
      </w:pPr>
      <w:r>
        <w:rPr>
          <w:rFonts w:ascii="Calibri" w:hAnsi="Calibri" w:eastAsia="Calibri"/>
          <w:b w:val="0"/>
          <w:i w:val="0"/>
          <w:sz w:val="22"/>
        </w:rPr>
        <w:t>Bi Sheng made ceramic movable type in the eleventh century</w:t>
      </w:r>
    </w:p>
    <w:p>
      <w:pPr>
        <w:pStyle w:val="ListBullet"/>
      </w:pPr>
      <w:r>
        <w:rPr>
          <w:rFonts w:ascii="Calibri" w:hAnsi="Calibri" w:eastAsia="Calibri"/>
          <w:b w:val="0"/>
          <w:i w:val="0"/>
          <w:sz w:val="22"/>
        </w:rPr>
        <w:t>Gutenberg combined metal type, oil-based ink, and a press in Mainz around the 1440s-1450s</w:t>
      </w:r>
    </w:p>
    <w:p>
      <w:pPr>
        <w:pStyle w:val="ListBullet"/>
      </w:pPr>
      <w:r>
        <w:rPr>
          <w:rFonts w:ascii="Calibri" w:hAnsi="Calibri" w:eastAsia="Calibri"/>
          <w:b w:val="0"/>
          <w:i w:val="0"/>
          <w:sz w:val="22"/>
        </w:rPr>
        <w:t>The 42-line Bible showed that a long book could be produced in many copies</w:t>
      </w:r>
    </w:p>
    <w:p>
      <w:pPr>
        <w:pStyle w:val="ListBullet"/>
      </w:pPr>
      <w:r>
        <w:rPr>
          <w:rFonts w:ascii="Calibri" w:hAnsi="Calibri" w:eastAsia="Calibri"/>
          <w:b w:val="0"/>
          <w:i w:val="0"/>
          <w:sz w:val="22"/>
        </w:rPr>
        <w:t>Print accelerated science, news, and religious debate in Europe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printing press is a machine that presses inked type or a carved block onto paper. Movable type means each letter is a separate piece that can be rearranged for a new page. Once a page is set, many copies can be pulled in a day. That is the difference between a unique manuscript and an edition - like a rubber stamp set that can be rebuilt for every page. The press does not invent ideas; it multiplies them.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In China, Bi Sheng created movable type from fired clay in the eleventh century, and Korea later used metal type. Woodblock printing was already old in East Asia. In Europe, Johannes Gutenberg of Mainz, working in the 1440s and 1450s, combined durable metal type, a suitable ink, and a press adapted from wine- or paper-making equipment. He did not invent printing from nothing; he made a system that fitted European alphabets and markets.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Gutenberg's famous 42-line Bible appeared around 1455. Within decades, presses stood in cities across Europe. Demand for texts, available paper, and a craft culture of metalworkers all helped. The alphabet, with a modest number of letters, suited movable type especially well. Wars and trade then carried printed books farther than any single workshop could.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Print standardised texts: two readers could compare the same page numbers and catch errors. Scientific diagrams, maps, and tables became shareable. Elizabeth Eisenstein and other historians have argued that print was an agent of change for the Reformation, the scientific revolution, and the modern public. Accuracy still depended on the compositor - but the cost of a copy collapsed.</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Newspapers, pamphlets, novels, and schoolbooks are children of the press. Later came rotary presses, linotype, offset lithography, and digital printing. The logic - one composition, many copies - also appears in broadcasting and the web. Desktop publishing and laser printers brought the press to the office.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Cheaper books widened literacy and created a reading public. They also spread propaganda, censorship battles, and copyright disputes. Religion, science, and politics all became more argumentative because more people could hold the same text. Daily life gained newspapers and, later, cheap paperbacks. The press did not make people wiser by itself, but it made knowledge a thing that could travel.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Eisenstein, Elizabeth L. The Printing Press as an Agent of Change. Cambridge: Cambridge University Press, 1979.</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'Printing press.'</w:t>
      </w:r>
      <w:hyperlink r:id="rId9">
        <w:r>
          <w:rPr>
            <w:color w:val="0563C1"/>
            <w:u w:val="single"/>
          </w:rPr>
          <w:t xml:space="preserve">https://www.britannica.com/technology/printing-press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British Library. Gutenberg Bible.</w:t>
      </w:r>
      <w:hyperlink r:id="rId10">
        <w:r>
          <w:rPr>
            <w:color w:val="0563C1"/>
            <w:u w:val="single"/>
          </w:rPr>
          <w:t xml:space="preserve">https://www.bl.uk/collection-items/gutenberg-bible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Gutenberg-Museum Mainz.</w:t>
      </w:r>
      <w:hyperlink r:id="rId11">
        <w:r>
          <w:rPr>
            <w:color w:val="0563C1"/>
            <w:u w:val="single"/>
          </w:rPr>
          <w:t xml:space="preserve">https://www.gutenberg-museum.de/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rinting-press" TargetMode="External"/><Relationship Id="rId10" Type="http://schemas.openxmlformats.org/officeDocument/2006/relationships/hyperlink" Target="https://www.bl.uk/collection-items/gutenberg-bible" TargetMode="External"/><Relationship Id="rId11" Type="http://schemas.openxmlformats.org/officeDocument/2006/relationships/hyperlink" Target="https://www.gutenberg-muse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The Printing Press</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