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6.20 Television</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1920s–1930s experimental broadcasts; mid-20th century mass household adoption | Key figure(s): John Logie Baird; Philo Farnsworth; Vladimir Zworykin; many broadcast engineers and standards bodies</w:t>
      </w:r>
    </w:p>
    <w:p>
      <w:pPr>
        <w:spacing w:after="160" w:line="276" w:lineRule="auto"/>
      </w:pPr>
      <w:r>
        <w:rPr>
          <w:rFonts w:ascii="Calibri" w:hAnsi="Calibri" w:eastAsia="Calibri"/>
          <w:b w:val="0"/>
          <w:i w:val="0"/>
          <w:sz w:val="22"/>
        </w:rPr>
        <w:t>Television sends moving pictures and sound to many receivers at once. It created a shared living-room culture of news, sport, and drama — later joined, not erased, by the internet.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Mechanical and electronic scanning systems competed in the 1920s and 1930s</w:t>
      </w:r>
    </w:p>
    <w:p>
      <w:pPr>
        <w:pStyle w:val="ListBullet"/>
      </w:pPr>
      <w:r>
        <w:rPr>
          <w:rFonts w:ascii="Calibri" w:hAnsi="Calibri" w:eastAsia="Calibri"/>
          <w:b w:val="0"/>
          <w:i w:val="0"/>
          <w:sz w:val="22"/>
        </w:rPr>
        <w:t>Philo Farnsworth and Vladimir Zworykin were among key figures in electronic television</w:t>
      </w:r>
    </w:p>
    <w:p>
      <w:pPr>
        <w:pStyle w:val="ListBullet"/>
      </w:pPr>
      <w:r>
        <w:rPr>
          <w:rFonts w:ascii="Calibri" w:hAnsi="Calibri" w:eastAsia="Calibri"/>
          <w:b w:val="0"/>
          <w:i w:val="0"/>
          <w:sz w:val="22"/>
        </w:rPr>
        <w:t>Regular public broadcasts expanded before and after the Second World War</w:t>
      </w:r>
    </w:p>
    <w:p>
      <w:pPr>
        <w:pStyle w:val="ListBullet"/>
      </w:pPr>
      <w:r>
        <w:rPr>
          <w:rFonts w:ascii="Calibri" w:hAnsi="Calibri" w:eastAsia="Calibri"/>
          <w:b w:val="0"/>
          <w:i w:val="0"/>
          <w:sz w:val="22"/>
        </w:rPr>
        <w:t>Colour standards and satellites extended reach and richness</w:t>
      </w:r>
    </w:p>
    <w:p>
      <w:pPr>
        <w:pStyle w:val="ListBullet"/>
      </w:pPr>
      <w:r>
        <w:rPr>
          <w:rFonts w:ascii="Calibri" w:hAnsi="Calibri" w:eastAsia="Calibri"/>
          <w:b w:val="0"/>
          <w:i w:val="0"/>
          <w:sz w:val="22"/>
        </w:rPr>
        <w:t>TV became the dominant mass medium in many countries for decades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Television converts scenes into electrical signals, transmits them by radio waves or cable, and rebuilds moving images with sound on a distant screen. Early sets used cathode-ray tubes; later flat panels changed the furniture, not the idea of one-to-many live pictures. Schedules, channels, and later on-demand libraries organise what arrives. In plain speech, TV is the hearth that speaks in pictures to a whole nation at once.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Television emerged from many labs. John Logie Baird demonstrated mechanical scanning; Farnsworth and Zworykin advanced electronic cameras and tubes. Broadcast companies and national postal or telecom authorities set standards. Naming one inventor misleads; the medium is a stack of optics, electronics, and institutions.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Experimental broadcasts in the late 1920s and 1930s proved the concept; postwar prosperity put sets in living rooms across industrial countries. Colour, UHF, cable, and satellites thickened the offering through the late twentieth century. Digital compression and flat screens followed. Streaming apps now ride on internet pipes, still delivering the same social habit: watch together, apart.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TV pushed cathode-ray physics, radio spectrum engineering, and the information theory of bandwidth. Synchronising lines and frames is precision timing. Colour encoding and later digital codecs are applied mathematics of perception. Studios became laboratories of lighting and signal integrity. Mass real-time video is an engineering triumph before it is entertainment.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Advertising, politics, and sport reshaped themselves around broadcast slots. News cycles accelerated. The internet inherited attention habits trained by TV, even as it fragmented audiences. Closed-circuit and medical imaging share display ancestry. Without television's infrastructure of cameras and transmitters, tomorrow's video platforms would lack a template.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Evenings reorganised around programme times; children grew up with shared characters. Distant wars and moon landings entered the home as moving images. Critics warned of passivity and propaganda; fans found community and joy. The glowing box — and now the glowing panel — remains how many people first meet the wider world each day.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Barnouw, Erik. Tube of Plenty: The Evolution of American Television. 2nd ed. New York: Oxford University Press, 1990.</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'Television.'</w:t>
      </w:r>
      <w:hyperlink r:id="rId9">
        <w:r>
          <w:rPr>
            <w:color w:val="0563C1"/>
            <w:u w:val="single"/>
          </w:rPr>
          <w:t xml:space="preserve">https://www.britannica.com/technology/television-technology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'Philo Farnsworth.'</w:t>
      </w:r>
      <w:hyperlink r:id="rId10">
        <w:r>
          <w:rPr>
            <w:color w:val="0563C1"/>
            <w:u w:val="single"/>
          </w:rPr>
          <w:t xml:space="preserve">https://www.britannica.com/biography/Philo-Farnsworth</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Television and broadcast technology stories.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Features on the invention and cultural impact of television.</w:t>
      </w:r>
      <w:hyperlink r:id="rId12">
        <w:r>
          <w:rPr>
            <w:color w:val="0563C1"/>
            <w:u w:val="single"/>
          </w:rPr>
          <w:t xml:space="preserve">https://www.smithsonianmag.com/innovation/how-television-invented-180963294/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vision-technology" TargetMode="External"/><Relationship Id="rId10" Type="http://schemas.openxmlformats.org/officeDocument/2006/relationships/hyperlink" Target="https://www.britannica.com/biography/Philo-Farnsworth"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how-television-invented-180963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6.20 Television</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