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7.11 Brain-Computer Interfaces</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1970s laboratory demonstrations; clinical implants and noninvasive headsets thereafter; 21st-century neural prosthetics research | Key figure(s): Jacques Vidal and early BCI researchers; later clinical neural-engineering teams and implant developers</w:t>
      </w:r>
    </w:p>
    <w:p>
      <w:pPr>
        <w:spacing w:after="160" w:line="276" w:lineRule="auto"/>
      </w:pPr>
      <w:r>
        <w:rPr>
          <w:rFonts w:ascii="Calibri" w:hAnsi="Calibri" w:eastAsia="Calibri"/>
          <w:b w:val="0"/>
          <w:i w:val="0"/>
          <w:sz w:val="22"/>
        </w:rPr>
        <w:t>Brain-computer interfaces read or stimulate neural signals so people can control devices or regain sensory feedback without muscle movement. They link nervous systems to computers for research, medicine, and emerging consumer uses.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laboratory work in the 1970s showed EEG patterns could drive simple computer cursors</w:t>
      </w:r>
    </w:p>
    <w:p>
      <w:pPr>
        <w:pStyle w:val="ListBullet"/>
      </w:pPr>
      <w:r>
        <w:rPr>
          <w:rFonts w:ascii="Calibri" w:hAnsi="Calibri" w:eastAsia="Calibri"/>
          <w:b w:val="0"/>
          <w:i w:val="0"/>
          <w:sz w:val="22"/>
        </w:rPr>
        <w:t>Invasive electrode arrays can record from motor cortex to move robotic arms or cursors</w:t>
      </w:r>
    </w:p>
    <w:p>
      <w:pPr>
        <w:pStyle w:val="ListBullet"/>
      </w:pPr>
      <w:r>
        <w:rPr>
          <w:rFonts w:ascii="Calibri" w:hAnsi="Calibri" w:eastAsia="Calibri"/>
          <w:b w:val="0"/>
          <w:i w:val="0"/>
          <w:sz w:val="22"/>
        </w:rPr>
        <w:t>Noninvasive headsets trade resolution for safer, easier setup</w:t>
      </w:r>
    </w:p>
    <w:p>
      <w:pPr>
        <w:pStyle w:val="ListBullet"/>
      </w:pPr>
      <w:r>
        <w:rPr>
          <w:rFonts w:ascii="Calibri" w:hAnsi="Calibri" w:eastAsia="Calibri"/>
          <w:b w:val="0"/>
          <w:i w:val="0"/>
          <w:sz w:val="22"/>
        </w:rPr>
        <w:t>Clinical goals include restoring communication and movement after paralysis or amputation</w:t>
      </w:r>
    </w:p>
    <w:p>
      <w:pPr>
        <w:pStyle w:val="ListBullet"/>
      </w:pPr>
      <w:r>
        <w:rPr>
          <w:rFonts w:ascii="Calibri" w:hAnsi="Calibri" w:eastAsia="Calibri"/>
          <w:b w:val="0"/>
          <w:i w:val="0"/>
          <w:sz w:val="22"/>
        </w:rPr>
        <w:t>Ethics of privacy, consent, and enhancement travel with every improvement in bandwidth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brain-computer interface (BCI) measures brain activity — or delivers stimulation — and maps it to software or hardware actions. Sensors may sit on the scalp, under the skull, or inside cortex. Decoders translate spikes or rhythms into cursor moves, speech synthesizers, or robotic limbs; stimulators can feed touch or vision cues back. In everyday language, it is a bridge between thoughts-as-signals and machines.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Jacques Vidal popularised the BCI framing in the 1970s amid EEG control experiments. Generations of neuroscientists, neurosurgeons, and engineers refined electrodes, decoding algorithms, and clinical protocols. No single patent owns the bridge from brain to computer; it is a cumulative field. Companies later packaged research-grade systems for trials.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academic demos, slow clinical translation occupied decades: monkeys and then humans controlling cursors and arms. Cochlear implants — related sensory prostheses — proved neural interfaces could be mainstream medicine. High-profile implant trials in the 2010s–2020s raised public attention and regulatory scrutiny. Consumer EEG toys remain limited beside medical research. Bandwidth and longevity of implants still gate daily independence.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BCIs force real-time neuroscience, machine learning on noisy neural data, and biocompatible materials. They test theories of motor encoding and plasticity when the brain learns a decoder. Closed-loop stimulation links computation to therapy. Scientifically, they make mind–machine coupling an engineering variable.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Neuroprosthetics, deep-brain stimulation refinements, and AR control schemes borrow BCI decoding ideas. Data standards for neural recordings grew with open science efforts. Military and gaming interest funds adjacent human–machine research with different ethics. Rehab robotics pairs exoskeletons with neural intent signals.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small number of patients regained typing or reach that paralysis had taken. Caregivers and clinicians navigate surgery risk versus autonomy. Public imagination swings between miracle and dystopia. Most people still interact with computers through hands and voice — but the frontier of access widened for those without them.</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Wolpaw, Jonathan R., and Elizabeth Winter Wolpaw, eds. Brain-Computer Interfaces: Principles and Practice. Oxford: Oxford University Press, 2012.</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'Brain-computer interface.'</w:t>
      </w:r>
      <w:hyperlink r:id="rId9">
        <w:r>
          <w:rPr>
            <w:color w:val="0563C1"/>
            <w:u w:val="single"/>
          </w:rPr>
          <w:t xml:space="preserve">https://www.britannica.com/technology/brain-computer-interface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NIH. BRAIN Initiative.</w:t>
      </w:r>
      <w:hyperlink r:id="rId10">
        <w:r>
          <w:rPr>
            <w:color w:val="0563C1"/>
            <w:u w:val="single"/>
          </w:rPr>
          <w:t xml:space="preserve">https://braininitiative.nih.gov/</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Neuroscience and medical technology objects.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Brain–machine interface subject page.</w:t>
      </w:r>
      <w:hyperlink r:id="rId12">
        <w:r>
          <w:rPr>
            <w:color w:val="0563C1"/>
            <w:u w:val="single"/>
          </w:rPr>
          <w:t xml:space="preserve">https://www.nature.com/subjects/brain-machine-interface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rain-computer-interface" TargetMode="External"/><Relationship Id="rId10" Type="http://schemas.openxmlformats.org/officeDocument/2006/relationships/hyperlink" Target="https://braininitiative.nih.gov/"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brain-machine-inter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7.11 Brain-Computer Interfaces</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