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1.20 Бухгалтериядагы кош жазуу ыкмасы</w:t>
      </w:r>
    </w:p>
    <w:p>
      <w:pPr>
        <w:keepNext/>
        <w:widowControl/>
      </w:pPr>
      <w:r>
        <w:rPr>
          <w:sz w:val="20"/>
        </w:rPr>
        <w:t>1. Цивилизациянын негиздери</w:t>
      </w:r>
    </w:p>
    <w:p>
      <w:pPr>
        <w:keepNext/>
        <w:widowControl/>
      </w:pPr>
      <w:r>
        <w:rPr>
          <w:sz w:val="20"/>
        </w:rPr>
        <w:t>Мезгил: б. з. XIII–XV кылымдары (италиялык соодагерлердин тажрыйбасы); Пачолинин 1494-жылдагы баяндоосу; азыркы дүйнөлүк эсеп жүргүзүү | Негизги салым кошкондор: Италиянын соода үйлөрү; Лука Пачоли (ыкманы түшүндүргөн); Евразиядагы мурдагы эсеп китеп салттары</w:t>
      </w:r>
    </w:p>
    <w:p>
      <w:pPr>
        <w:widowControl/>
      </w:pPr>
      <w:r>
        <w:t>Кош жазуу ыкмасы ар бир операцияны дебет жана кредит катары каттайт, ошондуктан эсептер тең чыгышы керек. Бул соодадагы ишенимди, эсепти текшерүүнү жана ишкананы чоңойтууну бир адамдын эс тутумунан көз каранды болбой уюштурууга шарт түзгөн.</w:t>
      </w:r>
    </w:p>
    <w:p>
      <w:pPr>
        <w:pStyle w:val="Heading1"/>
        <w:widowControl/>
      </w:pPr>
      <w:r>
        <w:t>Негизги маалыматтар</w:t>
      </w:r>
    </w:p>
    <w:p>
      <w:pPr>
        <w:pStyle w:val="ListBullet"/>
        <w:widowControl/>
      </w:pPr>
      <w:r>
        <w:t>Орто кылымдагы италиялык соодагерлер ар бир жазууга дал келген экинчи жазуусу бар эсеп китептерин өркүндөткөн.</w:t>
      </w:r>
    </w:p>
    <w:p>
      <w:pPr>
        <w:pStyle w:val="ListBullet"/>
        <w:widowControl/>
      </w:pPr>
      <w:r>
        <w:t>Лука Пачоли 1494-жылы венециялык ыкманы басмада баяндаган.</w:t>
      </w:r>
    </w:p>
    <w:p>
      <w:pPr>
        <w:pStyle w:val="ListBullet"/>
        <w:widowControl/>
      </w:pPr>
      <w:r>
        <w:t>Эсептерди теңдөө активдерди, милдеттенмелерди жана өздүк капиталды байланыштырат.</w:t>
      </w:r>
    </w:p>
    <w:p>
      <w:pPr>
        <w:pStyle w:val="ListBullet"/>
        <w:widowControl/>
      </w:pPr>
      <w:r>
        <w:t>Жалпы суммалар дал келүүгө тийиш болгондуктан, система каталарды табууга жардам берет.</w:t>
      </w:r>
    </w:p>
    <w:p>
      <w:pPr>
        <w:pStyle w:val="ListBullet"/>
        <w:widowControl/>
      </w:pPr>
      <w:r>
        <w:t>Азыркы ишканалардын жана улуттук эсептердин негизинде да кош жазуунун логикасы жатат.</w:t>
      </w:r>
    </w:p>
    <w:p>
      <w:pPr>
        <w:pStyle w:val="Heading1"/>
        <w:widowControl/>
      </w:pPr>
      <w:r>
        <w:t>Бул эмне?</w:t>
      </w:r>
    </w:p>
    <w:p>
      <w:pPr>
        <w:widowControl/>
      </w:pPr>
      <w:r>
        <w:t>Кош жазууда ар бир чарбалык операция байланышкан эсептерге эки жолу киргизилет: биринде дебетке, экинчисинде кредитке. Булар эсептин эки тарабы. Жалпы суммалар тең чыгышы керек; бул каталарды аныктоого жана ишкана эмнеге ээ, канча карыз экенин көрсөтүүгө жардам берет. Операциялар журналдан эсеп китебине өтөт, ал эми текшерүү балансы алардын шайкештигин сынайт. Муну таразага салыштырса болот: нарктын ар бир өзгөрүшүнө экинчи тарапта дал келген түшүндүрмө керек. Мындай жуп жазуу сооданы эсте сакталган окуядан текшерүүгө боло турган тарыхка айландырган.</w:t>
      </w:r>
    </w:p>
    <w:p>
      <w:pPr>
        <w:pStyle w:val="Heading1"/>
        <w:widowControl/>
      </w:pPr>
      <w:r>
        <w:t xml:space="preserve">Ким ойлоп тапкан</w:t>
      </w:r>
    </w:p>
    <w:p>
      <w:pPr>
        <w:widowControl/>
      </w:pPr>
      <w:r>
        <w:t>Италиянын соодагер коомдору бул тажрыйбаны окуу китебинен мурда эле өнүктүргөн. Лука Пачоли аны ойлоп тапкан эмес; ал 1494-жылы венециялык ыкманы так түшүндүрүп, үйрөнүүнү кеңейткен. Ар түрдүү маданияттарда андан мурда бир тараптуу эсеп жана эскертме жазуу салттары болгон. Соода кеңселеринин катчылары менен өнөктөштөр формаларды иш жүзүндө колдонуп өркүндөткөн.</w:t>
      </w:r>
    </w:p>
    <w:p>
      <w:pPr>
        <w:pStyle w:val="Heading1"/>
        <w:widowControl/>
      </w:pPr>
      <w:r>
        <w:t>Качан жана кантип пайда болгон?</w:t>
      </w:r>
    </w:p>
    <w:p>
      <w:pPr>
        <w:widowControl/>
      </w:pPr>
      <w:r>
        <w:t>XIII–XV кылымдарда Италиянын соода шаарлары өнөктөштүктөр жана деңиз артындагы иштер үчүн татаал эсеп китептерин жүргүзгөн. Басма Пачолинин түшүндүрмөсүн Европага тараткан. Голландиялык, англиялык, кийин дүйнөдөгү башка фирмалар бул түзүлүштү акционердик коомдорго ылайыкташтырган. Электрондук таблицалар жана кийин ишкана башкаруу программалары ошол эле жуп дебет-кредит жазууларын киргизет. Ыкманын жайылышына насыя тобокелдиги жана алыскы соода түрткү болгон.</w:t>
      </w:r>
    </w:p>
    <w:p>
      <w:pPr>
        <w:pStyle w:val="Heading1"/>
        <w:widowControl/>
      </w:pPr>
      <w:r>
        <w:t>Илим үчүн мааниси</w:t>
      </w:r>
    </w:p>
    <w:p>
      <w:pPr>
        <w:widowControl/>
      </w:pPr>
      <w:r>
        <w:t>Кош жазуу — сан менен көрсөтүлгөн мүлктүк талаптардын теңдигин сактаган маалымат технологиясы. Ал маалыматты бөлүштүрүүнү жана арифметикалык текшерүүнү талап кылат. Муну тажрыйбада болгон нерселерди так эсепке алууга салыштырса болот. Экономикалык тарых менен статистика эсеп китептерин маалымат булагы катары колдонот. Кийин бухгалтерия теориясы соодагерлер практикада колдонгон негизги эрежелерди формалдаштырган. Ыкма бүдөмүк «байлыкты» салыштырууга, текшерүүгө жана үйрөтүүгө боло турган сандарга айландырган.</w:t>
      </w:r>
    </w:p>
    <w:p>
      <w:pPr>
        <w:pStyle w:val="Heading1"/>
        <w:widowControl/>
      </w:pPr>
      <w:r>
        <w:t>Кийинки өнүгүүгө тийгизген таасири</w:t>
      </w:r>
    </w:p>
    <w:p>
      <w:pPr>
        <w:widowControl/>
      </w:pPr>
      <w:r>
        <w:t>Теңдештирилген эсептер ири өнөктөштүктөргө, банктарга жана корпорацияларга шарт түзгөн. Көз карандысыз эсеп текшерүү — аудит — кесиби жана салык чогултуучу мамлекеттер текшерилүүчү эсептерге таянган. Чыгымдарды эсептөө фабрикаларга жардам берген; улуттук эсептерде да ошол кош тараптуулук бар. Кош жазуусуз өнөр жай капиталынын документтеринде жалпы түшүнүктүү тартип жетишмек эмес. Каржы дагы эле дебет менен кредит тилинде сүйлөйт.</w:t>
      </w:r>
    </w:p>
    <w:p>
      <w:pPr>
        <w:pStyle w:val="Heading1"/>
        <w:widowControl/>
      </w:pPr>
      <w:r>
        <w:t>Адамдардын жашоосун кантип өзгөрткөн?</w:t>
      </w:r>
    </w:p>
    <w:p>
      <w:pPr>
        <w:widowControl/>
      </w:pPr>
      <w:r>
        <w:t>Соодагерлер алыскы өкүлдөрүнүн ак ниет иштегенин так далилдер менен текшерип, алдамчылыкты эртерээк байкай алган. Жумушчулар менен инвесторлор эмгек акы ведомосттору жана баланстык отчеттор дүйнөсүнө кирген. Ошол эле учурда адам эмгегинин сан тилкелерине айланышы айрымдарга суук, адамдан алыстаган мамиле сезилген. Бирок үй-бүлөлүк бюджеттер менен телефондогу банк тиркемелеринде да эски жуп жазуунун таасири сакталат.</w:t>
      </w:r>
    </w:p>
    <w:p>
      <w:pPr>
        <w:pStyle w:val="Heading1"/>
        <w:widowControl/>
      </w:pPr>
      <w:r>
        <w:t>Булактар жана кошумча окуу</w:t>
      </w:r>
    </w:p>
    <w:p>
      <w:pPr>
        <w:pStyle w:val="Heading2"/>
        <w:widowControl/>
      </w:pPr>
      <w:r>
        <w:rPr>
          <w:sz w:val="20"/>
        </w:rPr>
        <w:t>Китептер жана негизги илимий эмгектер</w:t>
      </w:r>
    </w:p>
    <w:p>
      <w:pPr>
        <w:widowControl/>
      </w:pPr>
      <w:r>
        <w:rPr>
          <w:sz w:val="20"/>
        </w:rPr>
        <w:t>1. Pacioli, Luca. Summa de arithmetica, geometria, proportioni et proportionalita. Venice, 1494 (accounting treatise within).</w:t>
      </w:r>
    </w:p>
    <w:p>
      <w:pPr>
        <w:pStyle w:val="Heading2"/>
        <w:widowControl/>
      </w:pPr>
      <w:r>
        <w:rPr>
          <w:sz w:val="20"/>
        </w:rPr>
        <w:t>Уюмдардын жана энциклопедиялардын материалдары</w:t>
      </w:r>
    </w:p>
    <w:p>
      <w:pPr>
        <w:widowControl/>
      </w:pPr>
      <w:r>
        <w:rPr>
          <w:sz w:val="20"/>
        </w:rPr>
        <w:t xml:space="preserve">1. Encyclopaedia Britannica. 'Double-entry bookkeeping.' </w:t>
      </w:r>
      <w:hyperlink r:id="rId9">
        <w:r>
          <w:rPr>
            <w:sz w:val="20"/>
          </w:rPr>
          <w:t>https://www.britannica.com/money/double-entry-bookkeeping</w:t>
        </w:r>
      </w:hyperlink>
      <w:r>
        <w:rPr>
          <w:sz w:val="20"/>
        </w:rPr>
      </w:r>
    </w:p>
    <w:p>
      <w:pPr>
        <w:widowControl/>
      </w:pPr>
      <w:r>
        <w:rPr>
          <w:sz w:val="20"/>
        </w:rPr>
        <w:t xml:space="preserve">2. Encyclopaedia Britannica. 'Accounting.' </w:t>
      </w:r>
      <w:hyperlink r:id="rId10">
        <w:r>
          <w:rPr>
            <w:sz w:val="20"/>
          </w:rPr>
          <w:t>https://www.britannica.com/money/accounting</w:t>
        </w:r>
      </w:hyperlink>
      <w:r>
        <w:rPr>
          <w:sz w:val="20"/>
        </w:rPr>
      </w:r>
    </w:p>
    <w:p>
      <w:pPr>
        <w:pStyle w:val="Heading2"/>
        <w:widowControl/>
      </w:pPr>
      <w:r>
        <w:rPr>
          <w:sz w:val="20"/>
        </w:rPr>
        <w:t>Басма сөз, илимий-популярдуу жана маалымдама материалдар</w:t>
      </w:r>
    </w:p>
    <w:p>
      <w:pPr>
        <w:widowControl/>
      </w:pPr>
      <w:r>
        <w:rPr>
          <w:sz w:val="20"/>
        </w:rPr>
        <w:t xml:space="preserve">1. Smithsonian Magazine. 'The Father of Accounting.' </w:t>
      </w:r>
      <w:hyperlink r:id="rId11">
        <w:r>
          <w:rPr>
            <w:sz w:val="20"/>
          </w:rPr>
          <w:t>https://www.smithsonianmag.com/history/the-father-of-accounting-180964072/</w:t>
        </w:r>
      </w:hyperlink>
      <w:r>
        <w:rPr>
          <w:sz w:val="20"/>
        </w:rPr>
      </w:r>
    </w:p>
    <w:sectPr w:rsidR="00FC693F" w:rsidRPr="0006063C" w:rsidSect="00034616">
      <w:footerReference w:type="default" r:id="rId12"/>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ky-KG"/>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ky-KG"/>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ky-KG"/>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ky-KG"/>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ky-KG"/>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money/double-entry-bookkeeping" TargetMode="External"/><Relationship Id="rId10" Type="http://schemas.openxmlformats.org/officeDocument/2006/relationships/hyperlink" Target="https://www.britannica.com/money/accounting" TargetMode="External"/><Relationship Id="rId11" Type="http://schemas.openxmlformats.org/officeDocument/2006/relationships/hyperlink" Target="https://www.smithsonianmag.com/history/the-father-of-accounting-180964072/" TargetMode="Externa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Бухгалтериядагы кош жазуу ыкмасы</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ky-KG</dc:language>
</cp:coreProperties>
</file>