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1.9 Печатный станок</w:t>
      </w:r>
    </w:p>
    <w:p>
      <w:pPr>
        <w:keepNext/>
        <w:widowControl/>
      </w:pPr>
      <w:r>
        <w:rPr>
          <w:sz w:val="20"/>
        </w:rPr>
        <w:t>1. Основы цивилизации</w:t>
      </w:r>
    </w:p>
    <w:p>
      <w:pPr>
        <w:keepNext/>
        <w:widowControl/>
      </w:pPr>
      <w:r>
        <w:rPr>
          <w:sz w:val="20"/>
        </w:rPr>
        <w:t>Период: около 1440 года н. э. (станок Гутенберга с подвижными литерами в Европе); около 1040 года (подвижный шрифт в Китае) | Основные участники: Иоганн Гутенберг, Европа; Би Шэн, Китай, около 1040 года — более ранний подвижный шрифт</w:t>
      </w:r>
    </w:p>
    <w:p>
      <w:pPr>
        <w:widowControl/>
      </w:pPr>
      <w:r>
        <w:t>Печатный станок с подвижными металлическими литерами позволяет многократно воспроизводить страницу с гораздо меньшими затратами труда, чем переписывание от руки. В XV веке мастерская Иоганна Гутенберга сделала книги дешевле, а распространение идей — труднее поддающимся контролю.</w:t>
      </w:r>
    </w:p>
    <w:p>
      <w:pPr>
        <w:pStyle w:val="Heading1"/>
        <w:widowControl/>
      </w:pPr>
      <w:r>
        <w:t>Кратко о главном</w:t>
      </w:r>
    </w:p>
    <w:p>
      <w:pPr>
        <w:pStyle w:val="ListBullet"/>
        <w:widowControl/>
      </w:pPr>
      <w:r>
        <w:t>В Восточной Азии печатали с деревянных досок, а в Китае применяли подвижный шрифт за несколько столетий до Гутенберга.</w:t>
      </w:r>
    </w:p>
    <w:p>
      <w:pPr>
        <w:pStyle w:val="ListBullet"/>
        <w:widowControl/>
      </w:pPr>
      <w:r>
        <w:t>В XI веке Би Шэн изготовил подвижные литеры из керамики.</w:t>
      </w:r>
    </w:p>
    <w:p>
      <w:pPr>
        <w:pStyle w:val="ListBullet"/>
        <w:widowControl/>
      </w:pPr>
      <w:r>
        <w:t>В 1440–1450-х годах Гутенберг в Майнце объединил металлический шрифт, краску на масляной основе и печатный пресс.</w:t>
      </w:r>
    </w:p>
    <w:p>
      <w:pPr>
        <w:pStyle w:val="ListBullet"/>
        <w:widowControl/>
      </w:pPr>
      <w:r>
        <w:t>42-строчная Библия показала, что большую книгу можно выпускать многими экземплярами.</w:t>
      </w:r>
    </w:p>
    <w:p>
      <w:pPr>
        <w:pStyle w:val="ListBullet"/>
        <w:widowControl/>
      </w:pPr>
      <w:r>
        <w:t>Печать ускорила развитие науки, распространение новостей и религиозные споры в Европе.</w:t>
      </w:r>
    </w:p>
    <w:p>
      <w:pPr>
        <w:pStyle w:val="Heading1"/>
        <w:widowControl/>
      </w:pPr>
      <w:r>
        <w:t>Что это такое</w:t>
      </w:r>
    </w:p>
    <w:p>
      <w:pPr>
        <w:widowControl/>
      </w:pPr>
      <w:r>
        <w:t>Печатный станок прижимает к бумаге покрытые краской литеры или резную доску. Подвижный шрифт состоит из отдельных знаков, которые можно переставлять для набора новой страницы. После набора за день получают множество оттисков. Так вместо единственной рукописи появляется тираж. Это похоже на набор печатей, из которых для каждой страницы составляют новую форму. Станок не создаёт идеи, но многократно увеличивает число их копий.</w:t>
      </w:r>
    </w:p>
    <w:p>
      <w:pPr>
        <w:pStyle w:val="Heading1"/>
        <w:widowControl/>
      </w:pPr>
      <w:r>
        <w:t>Кто открыл или изобрёл</w:t>
      </w:r>
    </w:p>
    <w:p>
      <w:pPr>
        <w:widowControl/>
      </w:pPr>
      <w:r>
        <w:t>В XI веке в Китае Би Шэн создал подвижный шрифт из обожжённой глины; позднее в Корее применяли металлические литеры. Печать с деревянных досок к тому времени давно существовала в Восточной Азии. В Европе Иоганн Гутенберг из Майнца в 1440–1450-х годах соединил прочный металлический шрифт, подходящую краску и пресс, приспособленный из оборудования для виноделия или изготовления бумаги. Он не изобрёл печать с нуля, а создал систему, подходившую европейским алфавитам и рынкам.</w:t>
      </w:r>
    </w:p>
    <w:p>
      <w:pPr>
        <w:pStyle w:val="Heading1"/>
        <w:widowControl/>
      </w:pPr>
      <w:r>
        <w:t>Когда и как появилось</w:t>
      </w:r>
    </w:p>
    <w:p>
      <w:pPr>
        <w:widowControl/>
      </w:pPr>
      <w:r>
        <w:t>Знаменитая 42-строчная Библия Гутенберга вышла примерно в 1455 году. За несколько десятилетий печатные станки появились во многих городах Европы. Этому помогли спрос на тексты, доступность бумаги и развитое металлообрабатывающее ремесло. Алфавит с относительно небольшим числом букв особенно хорошо подходил для подвижного набора. Торговля и войны переносили печатные книги далеко за пределы возможностей отдельной мастерской.</w:t>
      </w:r>
    </w:p>
    <w:p>
      <w:pPr>
        <w:pStyle w:val="Heading1"/>
        <w:widowControl/>
      </w:pPr>
      <w:r>
        <w:t>Значение для науки</w:t>
      </w:r>
    </w:p>
    <w:p>
      <w:pPr>
        <w:widowControl/>
      </w:pPr>
      <w:r>
        <w:t>Печать сделала тексты единообразнее: два читателя могли сравнивать страницы с одинаковыми номерами и выявлять ошибки. Научные рисунки, карты и таблицы стало легче распространять. Историк Элизабет Эйзенстайн и другие исследователи рассматривали печать как важную силу перемен в Реформации, научной революции и становлении современной читающей общественности. Точность по-прежнему зависела от наборщика, но стоимость копии резко снизилась.</w:t>
      </w:r>
    </w:p>
    <w:p>
      <w:pPr>
        <w:pStyle w:val="Heading1"/>
        <w:widowControl/>
      </w:pPr>
      <w:r>
        <w:t>Влияние на дальнейшее развитие</w:t>
      </w:r>
    </w:p>
    <w:p>
      <w:pPr>
        <w:widowControl/>
      </w:pPr>
      <w:r>
        <w:t>Из печатного дела выросли газеты, брошюры, романы и школьные учебники. Затем появились ротационные машины, линотип — машина для отливки наборных строк, офсетная и цифровая печать. Принцип «одна подготовленная форма — множество копий» проявляется также в вещании и интернете. Настольные издательские системы и лазерные принтеры перенесли возможности типографии в обычный офис.</w:t>
      </w:r>
    </w:p>
    <w:p>
      <w:pPr>
        <w:pStyle w:val="Heading1"/>
        <w:widowControl/>
      </w:pPr>
      <w:r>
        <w:t>Как изменило жизнь людей</w:t>
      </w:r>
    </w:p>
    <w:p>
      <w:pPr>
        <w:widowControl/>
      </w:pPr>
      <w:r>
        <w:t>Дешёвые книги способствовали грамотности и формированию широкого круга читателей. Одновременно распространялась пропаганда, возникали конфликты вокруг цензуры и авторского права. Религия, наука и политика стали предметом более широких споров: всё больше людей могли прочитать один и тот же текст. В повседневную жизнь вошли газеты, позднее — недорогие книги в мягкой обложке. Сам по себе станок не делал людей мудрее, но позволял знаниям преодолевать расстояния.</w:t>
      </w:r>
    </w:p>
    <w:p>
      <w:pPr>
        <w:pStyle w:val="Heading1"/>
        <w:widowControl/>
      </w:pPr>
      <w:r>
        <w:t>Источники и литература</w:t>
      </w:r>
    </w:p>
    <w:p>
      <w:pPr>
        <w:pStyle w:val="Heading2"/>
        <w:widowControl/>
      </w:pPr>
      <w:r>
        <w:rPr>
          <w:sz w:val="20"/>
        </w:rPr>
        <w:t>Книги и основные научные труды</w:t>
      </w:r>
    </w:p>
    <w:p>
      <w:pPr>
        <w:widowControl/>
      </w:pPr>
      <w:r>
        <w:rPr>
          <w:sz w:val="20"/>
        </w:rPr>
        <w:t>1. Eisenstein, Elizabeth L. The Printing Press as an Agent of Change. Cambridge: Cambridge University Press, 1979.</w:t>
      </w:r>
    </w:p>
    <w:p>
      <w:pPr>
        <w:pStyle w:val="Heading2"/>
        <w:widowControl/>
      </w:pPr>
      <w:r>
        <w:rPr>
          <w:sz w:val="20"/>
        </w:rPr>
        <w:t>Материалы организаций и энциклопедии</w:t>
      </w:r>
    </w:p>
    <w:p>
      <w:pPr>
        <w:widowControl/>
      </w:pPr>
      <w:r>
        <w:rPr>
          <w:sz w:val="20"/>
        </w:rPr>
        <w:t xml:space="preserve">1. Encyclopaedia Britannica. 'Printing press.' </w:t>
      </w:r>
      <w:hyperlink r:id="rId9">
        <w:r>
          <w:rPr>
            <w:sz w:val="20"/>
          </w:rPr>
          <w:t>https://www.britannica.com/technology/printing-press</w:t>
        </w:r>
      </w:hyperlink>
      <w:r>
        <w:rPr>
          <w:sz w:val="20"/>
        </w:rPr>
      </w:r>
    </w:p>
    <w:p>
      <w:pPr>
        <w:pStyle w:val="Heading2"/>
        <w:widowControl/>
      </w:pPr>
      <w:r>
        <w:rPr>
          <w:sz w:val="20"/>
        </w:rPr>
        <w:t>Материалы музеев, архивов и библиотек</w:t>
      </w:r>
    </w:p>
    <w:p>
      <w:pPr>
        <w:widowControl/>
      </w:pPr>
      <w:r>
        <w:rPr>
          <w:sz w:val="20"/>
        </w:rPr>
        <w:t xml:space="preserve">1. British Library. Gutenberg Bible. </w:t>
      </w:r>
      <w:hyperlink r:id="rId10">
        <w:r>
          <w:rPr>
            <w:sz w:val="20"/>
          </w:rPr>
          <w:t>https://www.bl.uk/collection-items/gutenberg-bible</w:t>
        </w:r>
      </w:hyperlink>
      <w:r>
        <w:rPr>
          <w:sz w:val="20"/>
        </w:rPr>
      </w:r>
    </w:p>
    <w:p>
      <w:pPr>
        <w:widowControl/>
      </w:pPr>
      <w:r>
        <w:rPr>
          <w:sz w:val="20"/>
        </w:rPr>
        <w:t xml:space="preserve">2. Gutenberg-Museum Mainz. </w:t>
      </w:r>
      <w:hyperlink r:id="rId11">
        <w:r>
          <w:rPr>
            <w:sz w:val="20"/>
          </w:rPr>
          <w:t>https://www.gutenberg-museum.de/</w:t>
        </w:r>
      </w:hyperlink>
      <w:r>
        <w:rPr>
          <w:sz w:val="20"/>
        </w:rPr>
      </w:r>
    </w:p>
    <w:sectPr w:rsidR="00FC693F" w:rsidRPr="0006063C" w:rsidSect="00034616">
      <w:footerReference w:type="default" r:id="rId12"/>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ru-RU"/>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ru-RU"/>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ru-RU"/>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ru-RU"/>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printing-press" TargetMode="External"/><Relationship Id="rId10" Type="http://schemas.openxmlformats.org/officeDocument/2006/relationships/hyperlink" Target="https://www.bl.uk/collection-items/gutenberg-bible" TargetMode="External"/><Relationship Id="rId11" Type="http://schemas.openxmlformats.org/officeDocument/2006/relationships/hyperlink" Target="https://www.gutenberg-museum.de/"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Печатный станок</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ru-RU</dc:language>
</cp:coreProperties>
</file>