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 suallardan çəkinin</w:t>
      </w:r>
    </w:p>
    <w:p>
      <w:pPr/>
      <w:r>
        <w:t>İşsizdən “Hələ də işsizsən?”, işləyəndən “Maaşın nə qədərdir?”, övladı olmayandan “Hələ də uşağınız yoxdur?”, subaydan “Nə vaxt evlənirsən?” deyə soruşmaqdan çəkinək.</w:t>
      </w:r>
    </w:p>
    <w:p>
      <w:pPr>
        <w:keepNext/>
      </w:pPr>
      <w:r>
        <w:t>Kimisə “Sən bunu bilmirdin?” sualı ilə də utandırmayaq. Bizə adi görünən bir sual başqasının ən ağrılı yerinə toxuna bilər.</w:t>
      </w:r>
    </w:p>
    <w:p>
      <w:pPr>
        <w:keepNext/>
        <w:keepLines/>
        <w:spacing w:before="160" w:after="80"/>
      </w:pPr>
      <w:r>
        <w:rPr>
          <w:b/>
        </w:rPr>
        <w:t>İbrət:</w:t>
      </w:r>
      <w:r>
        <w:t xml:space="preserve"> Bəzi suallar könül yaralayır. Belə bir sualı verməmək kimisə inciməkdən qoruya bilər.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 suallardan çəkinin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