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Baş mühasib və baş direktor</w:t>
      </w:r>
    </w:p>
    <w:p>
      <w:pPr>
        <w:spacing w:after="80"/>
      </w:pPr>
      <w:r>
        <w:t>Baş mühasib baş direktora deyir:</w:t>
      </w:r>
    </w:p>
    <w:p>
      <w:pPr/>
      <w:r>
        <w:t>— Tutaq ki, əməkdaşlarımızın inkişafına vaxt və pul sərf etdik, amma onlar şirkətdən getdilər. Onda necə olacaq?</w:t>
      </w:r>
    </w:p>
    <w:p>
      <w:pPr>
        <w:spacing w:after="80"/>
      </w:pPr>
      <w:r>
        <w:t>Baş direktor:</w:t>
      </w:r>
    </w:p>
    <w:p>
      <w:pPr>
        <w:keepNext/>
      </w:pPr>
      <w:r>
        <w:t>— Bəs onların inkişafına nə vaxt, nə də pul sərf etsək, onlar da şirkətdə qalsalar, onda necə olacaq?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İnsanın inkişafına xərclənən pul itki deyil. Bu gün buna qənaət etmək sabah daha böyük itkiyə səbəb ola bilər.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 mühasib və baş direktor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