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Dərvişin üst-başı</w:t>
      </w:r>
    </w:p>
    <w:p>
      <w:pPr>
        <w:spacing w:after="80"/>
      </w:pPr>
      <w:r>
        <w:t>Dərvişdən soruşdular:</w:t>
      </w:r>
    </w:p>
    <w:p>
      <w:pPr>
        <w:spacing w:after="80"/>
      </w:pPr>
      <w:r>
        <w:t>— Üst-başın niyə belə səliqəsizdir?</w:t>
      </w:r>
    </w:p>
    <w:p>
      <w:pPr>
        <w:spacing w:after="80"/>
      </w:pPr>
      <w:r>
        <w:t>Dərviş cavab verdi:</w:t>
      </w:r>
    </w:p>
    <w:p>
      <w:pPr>
        <w:keepNext/>
        <w:spacing w:after="80"/>
      </w:pPr>
      <w:r>
        <w:t>— İç dünyamı gözəlləşdirməklə o qədər məşğulam ki, üst-başıma fikir verməyə vaxtım qalmır.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Daxili aləmini gözəlləşdirən insan zahiri qüsurları ölçü meyarına çevirməz. Çünki insanı gözəl edən geyimi deyil, qəlbinin təmizliyi və ruhunun işığıdır.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Dərvişin üst-başı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