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Əliaçıq adam</w:t>
      </w:r>
    </w:p>
    <w:p>
      <w:pPr>
        <w:spacing w:after="80"/>
      </w:pPr>
      <w:r>
        <w:t>Əliaçıq bir adamdan soruşurlar:</w:t>
      </w:r>
    </w:p>
    <w:p>
      <w:pPr>
        <w:spacing w:after="80"/>
      </w:pPr>
      <w:r>
        <w:t>— Kasıblara payladığın nemətlərə görə onların sənə minnətdar olmasını gözləyirsənmi?</w:t>
      </w:r>
    </w:p>
    <w:p>
      <w:pPr>
        <w:spacing w:after="80"/>
      </w:pPr>
      <w:r>
        <w:t>Adam cavab verir:</w:t>
      </w:r>
    </w:p>
    <w:p>
      <w:pPr>
        <w:keepNext/>
      </w:pPr>
      <w:r>
        <w:t>— Mən aşpazın əlindəki çömçə kimiyəm. Yemək çömçə ilə paylanır, amma onu verən çömçə deyil, aşpazdır.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Yaxşılıq edən insan verdiyi nemətin əsl sahibi olduğunu düşünməməlidir. O yalnız bir vasitədir; əsl verən Allahdır.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Əliaçıq adam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