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Boşunadır</w:t>
      </w:r>
    </w:p>
    <w:p>
      <w:pPr>
        <w:keepNext/>
        <w:spacing w:after="80"/>
      </w:pPr>
      <w:r>
        <w:t>Axmağa nəsihət vermək, cahillə mübahisə etmək, ikiüzlü ilə dost olmaq boşunadır.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Kiminlə vaxt keçirməyi seçəndə ömrünü necə yaşayacağını da seçirsən. Cahillə mübahisəyə, ikiüzlü ilə dostluğa sərf olunan vaxt hədər gedir.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Boşunadır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