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Piyada və şah</w:t>
      </w:r>
    </w:p>
    <w:p>
      <w:pPr>
        <w:spacing w:after="80"/>
      </w:pPr>
      <w:r>
        <w:t>Piyadadır deyə kiçik görmə!</w:t>
      </w:r>
    </w:p>
    <w:p>
      <w:pPr>
        <w:spacing w:after="80"/>
      </w:pPr>
      <w:r>
        <w:t>Gün gələr, ŞAH olar.</w:t>
      </w:r>
    </w:p>
    <w:p>
      <w:pPr>
        <w:spacing w:after="80"/>
      </w:pPr>
      <w:r>
        <w:t>Şahdır deyə güvənmə!</w:t>
      </w:r>
    </w:p>
    <w:p>
      <w:pPr>
        <w:keepNext/>
        <w:spacing w:after="80"/>
      </w:pPr>
      <w:r>
        <w:t>Gün gələr, MAT olar.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Heç kimi kiçik görüb alçaltma, öz mövqeyinə də arxayın olma. Bu gün gücsüz görünən sabah yüksələ, güclü görünən isə məğlub ola bilər.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Piyada və şah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