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Sükut</w:t>
      </w:r>
    </w:p>
    <w:p>
      <w:pPr>
        <w:spacing w:after="80"/>
      </w:pPr>
      <w:r>
        <w:t>Bəzi sualların cavabı sükutdur.</w:t>
      </w:r>
    </w:p>
    <w:p>
      <w:pPr>
        <w:spacing w:after="80"/>
      </w:pPr>
      <w:r>
        <w:t>Ya cavabın vaxtı deyil,</w:t>
      </w:r>
    </w:p>
    <w:p>
      <w:pPr>
        <w:spacing w:after="80"/>
      </w:pPr>
      <w:r>
        <w:t>ya da həmsöhbət cavaba layiq deyil!</w:t>
      </w:r>
    </w:p>
    <w:p>
      <w:pPr>
        <w:spacing w:after="80"/>
      </w:pPr>
      <w:r>
        <w:t>* * *</w:t>
      </w:r>
    </w:p>
    <w:p>
      <w:pPr>
        <w:keepNext/>
        <w:spacing w:after="80"/>
      </w:pPr>
      <w:r>
        <w:t>Dərviş Cəlal Ruhəvi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Hər suala cavab vermək lazım deyil. Bəzən vaxtı çatmayıb, bəzən də qarşındakı cavaba layiq deyil.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Sükut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