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Şeytanı daşlama</w:t>
      </w:r>
    </w:p>
    <w:p>
      <w:pPr/>
      <w:r>
        <w:t>Həcc ziyarətində olan biri şeytana daş atma vaxtı gələndə daşı atmaq əvəzinə onunla özünü döyməyə başlayır. Ətrafındakı bir cavan heyrətlə soruşur:</w:t>
      </w:r>
    </w:p>
    <w:p>
      <w:pPr>
        <w:spacing w:after="80"/>
      </w:pPr>
      <w:r>
        <w:t>— Ay dayı, niyə daşla özünü döyürsən?</w:t>
      </w:r>
    </w:p>
    <w:p>
      <w:pPr>
        <w:spacing w:after="80"/>
      </w:pPr>
      <w:r>
        <w:t>Adam belə cavab verir:</w:t>
      </w:r>
    </w:p>
    <w:p>
      <w:pPr>
        <w:keepNext/>
      </w:pPr>
      <w:r>
        <w:t>— Oğul, bizim buradakı şeytanla nə işimiz var? Əvvəl öz içimizdəki şeytanı daşlamalı, nəfsimizi tərbiyə edib özümüzü təmizləməliyik.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Əsl mübarizə kənardakı şeytanla yox, insanın öz nəfsi ilədir. Özünü paklamaq başqasını qınamaqdan çətin, amma dəyərlidir.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Şeytanı daşlama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