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Dostluq etməyəcəklərin</w:t>
      </w:r>
    </w:p>
    <w:p>
      <w:pPr>
        <w:spacing w:after="80"/>
      </w:pPr>
      <w:r>
        <w:t>— Təkəbbürlü ilə dostluq etmə! Hal bilməz, əhval bilməz, könül bilməz; üzülərsən.</w:t>
      </w:r>
    </w:p>
    <w:p>
      <w:pPr>
        <w:spacing w:after="80"/>
      </w:pPr>
      <w:r>
        <w:t>— Özünü çox ağıllı sayanla dostluq etmə! Çox danışar, boş danışar, kəm danışar; üzülərsən.</w:t>
      </w:r>
    </w:p>
    <w:p>
      <w:pPr>
        <w:keepNext/>
        <w:spacing w:after="80"/>
      </w:pPr>
      <w:r>
        <w:t>— Namərdlə dostluq etmə! Mərdlik bilməz, ürək bilməz, dost bilməz; üzülərsən.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Təkəbbürlü, özündən razı, namərd adamla dostluq peşmanlıq gətirər. Dost seçəndə qəlbinə bax.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Dostluq etməyəcəklərin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