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Tənha olmaq</w:t>
      </w:r>
    </w:p>
    <w:p>
      <w:pPr/>
      <w:r>
        <w:t>Bir tanışımın ziyarətinə getmişdim. Evinə daxil oldum, otağına girdim. Başını aşağı əymiş halda səssiz oturmuşdu. Qəmli görünürdü.</w:t>
      </w:r>
    </w:p>
    <w:p>
      <w:pPr>
        <w:spacing w:after="80"/>
      </w:pPr>
      <w:r>
        <w:t>— Kədərlisən? — deyə soruşdum.</w:t>
      </w:r>
    </w:p>
    <w:p>
      <w:pPr>
        <w:spacing w:after="80"/>
      </w:pPr>
      <w:r>
        <w:t>Başını qaldırıb gözlərimə baxdı:</w:t>
      </w:r>
    </w:p>
    <w:p>
      <w:pPr>
        <w:keepNext/>
        <w:spacing w:after="80"/>
      </w:pPr>
      <w:r>
        <w:t>— Yox, tənhayam.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Ən böyük dərd insanların içində belə özünü tənha hiss etməkdir. Yanındakının tənhalığını görmək əsl həssaslıqdır.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Tənha olmaq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