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Yetkin insan</w:t>
      </w:r>
    </w:p>
    <w:p>
      <w:pPr>
        <w:jc w:val="left"/>
      </w:pPr>
      <w:r>
        <w:rPr>
          <w:rFonts w:ascii="Arial" w:hAnsi="Arial" w:eastAsia="Arial"/>
          <w:i w:val="0"/>
          <w:color w:val="000000"/>
          <w:sz w:val="22"/>
        </w:rPr>
        <w:t>Elə bir dövr gəlir ki, köhnə dostların səmimiyyətinə daha çox dəyər verir, mənasız tanışlıqlara can atmır, cahil insanlardan və sənə mənəvi zərər verən münasibətlərdən uzaq durmaq istəyirsən. Məhz onda daxilən yetkinləşdiyini anlayırsan.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Yetkinlik səni incidən münasibətlərdən uzaqlaşıb daxili dincliyini qorumağı bacarmaqdır. Kimdən və nədən uzaq duracağını bilmək də kamillik əlamətidir.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Yetkin insan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