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Çatdırmadım, bacarmadım deməyin</w:t>
      </w:r>
    </w:p>
    <w:p>
      <w:pPr>
        <w:jc w:val="left"/>
      </w:pPr>
      <w:r>
        <w:rPr>
          <w:rFonts w:ascii="Arial" w:hAnsi="Arial" w:eastAsia="Arial"/>
          <w:i w:val="0"/>
          <w:color w:val="000000"/>
          <w:sz w:val="22"/>
        </w:rPr>
        <w:t>Günlər bir-birini əvəz edir. Kimi gününü məsud, kimi hüznlü bitirir. Amma nə olursa olsun, bu gün görə bilmədiyiniz işlər üçün «çatdırmadım, bacarmadım» deməyin. Ən əsası, ümidsiz olmayın. Ertəsi gün günəş doğan kimi bütün gün sizinkidir.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Hər gün yeni bir səhifədir. Dünəni dəyişə bilməzsən, amma bu günü necə yazacağın sənin əlindədir.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Çatdırmadım, bacarmadım deməyin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