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O sənin haqqın deyildi</w:t>
      </w:r>
    </w:p>
    <w:p>
      <w:pPr>
        <w:jc w:val="left"/>
      </w:pPr>
      <w:r>
        <w:rPr>
          <w:rFonts w:ascii="Arial" w:hAnsi="Arial" w:eastAsia="Arial"/>
          <w:i w:val="0"/>
          <w:color w:val="000000"/>
          <w:sz w:val="22"/>
        </w:rPr>
        <w:t>Çanaqqala savaşında yalnız sağ qala biləcək yaralılara morfi iynəsi vururlarmış. Doktor Tarıq Nüsrətin yanına gətirilən ağır yaralılardan biri onun öz doğma oğlu olur. Övladının həyatını xilas etməyin mümkünsüzlüyünü görən ata ona iynə vurmur. İki saat sonra şəhid olan övladının cansız bədəninə sarılan ata dərin sarsıntı içində pıçıldayır: «Əfv et məni, oğlum, o sənin haqqın deyildi.»</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Bəzən ən böyük ədalət insanın öz mənafeyinə qarşı çıxmasıdır. Haqq tanıyan ata öz övladına belə haqsız pay verməz.</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sənin haqqın deyildi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