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Don't do these</w:t>
      </w:r>
    </w:p>
    <w:p>
      <w:pPr>
        <w:jc w:val="left"/>
      </w:pPr>
      <w:r>
        <w:rPr>
          <w:rFonts w:ascii="Arial" w:hAnsi="Arial" w:eastAsia="Arial"/>
          <w:i w:val="0"/>
          <w:color w:val="000000"/>
          <w:sz w:val="22"/>
        </w:rPr>
        <w:t>Don't talk about your wealth in front of the poor, your health in front of the sick, your happiness in front of the distressed, your freedom in front of the prisoner, your strength in front of the weak, your children in front of the childless, or your parents in front of the orphan.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Don't remind the other person of something they don't have. They don't need reminders, they need understanding.</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do these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