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Go away, but come again</w:t>
      </w:r>
    </w:p>
    <w:p>
      <w:pPr>
        <w:jc w:val="left"/>
      </w:pPr>
      <w:r>
        <w:rPr>
          <w:rFonts w:ascii="Arial" w:hAnsi="Arial" w:eastAsia="Arial"/>
          <w:i w:val="0"/>
          <w:color w:val="000000"/>
          <w:sz w:val="22"/>
        </w:rPr>
        <w:t>An Ottoman custom: when a guest came to the house, the host would place their shoes in front of the door with the toes pointing towards the house. This way, the guest would walk around as if he were walking; this meant "go away, but come again".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subtle gesture can convey great kindness. The value given to a person is often seen in small moments.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away, but come again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