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Pay rent for water</w:t>
      </w:r>
    </w:p>
    <w:p>
      <w:pPr>
        <w:jc w:val="left"/>
      </w:pPr>
      <w:r>
        <w:rPr>
          <w:rFonts w:ascii="Arial" w:hAnsi="Arial" w:eastAsia="Arial"/>
          <w:i w:val="0"/>
          <w:color w:val="000000"/>
          <w:sz w:val="22"/>
        </w:rPr>
        <w:t>A man buys a well from a villager. When he wants to draw water from the well, the seller does not allow him: “I sold you the well, not the water in the well,” he says. An argument ensues. He says, so does the judge—in the end, they have to go to the judge.</w:t>
      </w:r>
    </w:p>
    <w:p>
      <w:pPr>
        <w:jc w:val="left"/>
      </w:pPr>
      <w:r>
        <w:rPr>
          <w:rFonts w:ascii="Arial" w:hAnsi="Arial" w:eastAsia="Arial"/>
          <w:i w:val="0"/>
          <w:color w:val="000000"/>
          <w:sz w:val="22"/>
        </w:rPr>
        <w:t>The judge says to the seller: “Since the water is yours, you cannot keep it in someone else’s well! Either take your water and go, or pay rent to the owner of the well for keeping it there.”</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He who wants to take his rights by crooked means falls into his own trap. Justice weighs the rights of both parties.</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 rent for water</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