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Pray while washing dishes</w:t>
      </w:r>
    </w:p>
    <w:p>
      <w:pPr>
        <w:jc w:val="left"/>
      </w:pPr>
      <w:r>
        <w:rPr>
          <w:rFonts w:ascii="Arial" w:hAnsi="Arial" w:eastAsia="Arial"/>
          <w:i w:val="0"/>
          <w:color w:val="000000"/>
          <w:sz w:val="22"/>
        </w:rPr>
        <w:t>Pray while washing dishes. Be grateful that you have dishes to wash. Because it shows that you have something to eat, that you fed someone, that you cared for someone, that you prepared food and set the table.</w:t>
      </w:r>
    </w:p>
    <w:p>
      <w:pPr>
        <w:jc w:val="left"/>
      </w:pPr>
      <w:r>
        <w:rPr>
          <w:rFonts w:ascii="Arial" w:hAnsi="Arial" w:eastAsia="Arial"/>
          <w:i w:val="0"/>
          <w:color w:val="000000"/>
          <w:sz w:val="22"/>
        </w:rPr>
        <w:t>Think of those who don't even have a dish to wash, who don't have anyone to set the table for.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Be grateful for the simple things you have: having dishes to wash means you have a table, you have loved ones. Gratitude goes a long way.</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 while washing dishes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