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 Lawful Morsel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Even if the flour is fresh and the water perfectly clean, spoiled yeast will not produce sound dough; nor will sound bread come from such dough.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To raise a child of good character, one must nourish that child with lawful and honestly earned food.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Imam al-Ghazali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A child’s moral formation begins with the food placed on the family table. Lawful earnings and honest nourishment help lay the foundation of sound character.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Lawful Morsel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