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1.20 Double-Entry Bookkeeping</w:t>
      </w:r>
    </w:p>
    <w:p>
      <w:pPr>
        <w:spacing w:after="80"/>
      </w:pPr>
      <w:r>
        <w:rPr>
          <w:rFonts w:ascii="Calibri" w:hAnsi="Calibri" w:eastAsia="Calibri"/>
          <w:b w:val="0"/>
          <w:i/>
          <w:color w:val="505050"/>
          <w:sz w:val="22"/>
        </w:rPr>
        <w:t>1. Foundations of Civilisation</w:t>
      </w:r>
    </w:p>
    <w:p>
      <w:pPr>
        <w:spacing w:after="200"/>
      </w:pPr>
      <w:r>
        <w:rPr>
          <w:rFonts w:ascii="Calibri" w:hAnsi="Calibri" w:eastAsia="Calibri"/>
          <w:b w:val="0"/>
          <w:i/>
          <w:sz w:val="22"/>
        </w:rPr>
        <w:t>Period: c. 13th-15th centuries CE (Italian mercantile practice); Pacioli's 1494 exposition; global modern accounting | Key figure(s): Italian merchant houses; Luca Pacioli (exposition); earlier ledger traditions across Eurasia</w:t>
      </w:r>
    </w:p>
    <w:p>
      <w:pPr>
        <w:spacing w:after="160" w:line="276" w:lineRule="auto"/>
      </w:pPr>
      <w:r>
        <w:rPr>
          <w:rFonts w:ascii="Calibri" w:hAnsi="Calibri" w:eastAsia="Calibri"/>
          <w:b w:val="0"/>
          <w:i w:val="0"/>
          <w:sz w:val="22"/>
        </w:rPr>
        <w:t>Double-entry bookkeeping records every transaction as both a debit and a credit so the books must balance. It made commercial trust, audit, and company scale thinkable beyond a single memory.</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Medieval Italian merchants refined ledgers that paired every entry</w:t>
      </w:r>
    </w:p>
    <w:p>
      <w:pPr>
        <w:pStyle w:val="ListBullet"/>
      </w:pPr>
      <w:r>
        <w:rPr>
          <w:rFonts w:ascii="Calibri" w:hAnsi="Calibri" w:eastAsia="Calibri"/>
          <w:b w:val="0"/>
          <w:i w:val="0"/>
          <w:sz w:val="22"/>
        </w:rPr>
        <w:t>Luca Pacioli described the Venetian method in print in 1494</w:t>
      </w:r>
    </w:p>
    <w:p>
      <w:pPr>
        <w:pStyle w:val="ListBullet"/>
      </w:pPr>
      <w:r>
        <w:rPr>
          <w:rFonts w:ascii="Calibri" w:hAnsi="Calibri" w:eastAsia="Calibri"/>
          <w:b w:val="0"/>
          <w:i w:val="0"/>
          <w:sz w:val="22"/>
        </w:rPr>
        <w:t>Assets, liabilities, and equity stay linked through balancing accounts</w:t>
      </w:r>
    </w:p>
    <w:p>
      <w:pPr>
        <w:pStyle w:val="ListBullet"/>
      </w:pPr>
      <w:r>
        <w:rPr>
          <w:rFonts w:ascii="Calibri" w:hAnsi="Calibri" w:eastAsia="Calibri"/>
          <w:b w:val="0"/>
          <w:i w:val="0"/>
          <w:sz w:val="22"/>
        </w:rPr>
        <w:t>The system supports error checking because totals must agree</w:t>
      </w:r>
    </w:p>
    <w:p>
      <w:pPr>
        <w:pStyle w:val="ListBullet"/>
      </w:pPr>
      <w:r>
        <w:rPr>
          <w:rFonts w:ascii="Calibri" w:hAnsi="Calibri" w:eastAsia="Calibri"/>
          <w:b w:val="0"/>
          <w:i w:val="0"/>
          <w:sz w:val="22"/>
        </w:rPr>
        <w:t>Modern corporate and national accounts still rest on double-entry logic</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Double-entry bookkeeping records business events so that each transaction appears twice - once as a debit and once as a credit - in linked accounts. The totals must balance, which reveals mistakes and shows what a firm owns and owes. Journals feed ledgers; trial balances test consistency. Think of it as a seesaw: every gift of value needs a matching explanation on the other side. That mirrored writing turned trade from memory into auditable history.</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Italian merchant communities developed the practice before any textbook. Luca Pacioli did not invent it; he explained the Venetian method clearly in 1494, spreading literacy of the craft. Earlier single-entry and memorandum traditions exist across cultures. Counting-house clerks and partners perfected forms through use.</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By the thirteenth to fifteenth centuries, Italian trading cities kept sophisticated ledgers for partnerships and overseas ventures. Print then carried Pacioli's exposition across Europe. Dutch, English, and later global firms adapted the grid to joint-stock companies. Spreadsheet and ERP software still post debits and credits. Adoption followed credit risk and long-distance trade.</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Double entry is an information technology: conservation of quantified claims. It forces classification and arithmetic checks akin to experimental bookkeeping of reality. Economic history and statistics draw on ledgers as data. Accounting theory later formalised axioms merchants already lived. The method turned vague fortune into quantities that could be compared, audited, and taught.</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Balanced books enabled larger partnerships, banks, and corporations. Auditing professions and tax states grew on verifiable accounts. Cost accounting fed factories; national accounts echo the same duality. Without double entry, industrial capital's paperwork lacks a shared grammar. Finance still speaks debit and credit.</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Merchants could trust distant agents with clearer proofs of honesty - and catch fraud sooner. Workers and investors entered a world of payrolls and balance sheets. The system also abstracted human effort into columns some found cold. Yet household budgets and phone banking apps still echo the old paired entry.</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Pacioli, Luca. Summa de arithmetica, geometria, proportioni et proportionalita. Venice, 1494 (accounting treatise within).</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'Double-entry bookkeeping.'</w:t>
      </w:r>
      <w:hyperlink r:id="rId9">
        <w:r>
          <w:rPr>
            <w:color w:val="0563C1"/>
            <w:u w:val="single"/>
          </w:rPr>
          <w:t xml:space="preserve">https://www.britannica.com/money/double-entry-bookkeeping</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'Accounting.'</w:t>
      </w:r>
      <w:hyperlink r:id="rId10">
        <w:r>
          <w:rPr>
            <w:color w:val="0563C1"/>
            <w:u w:val="single"/>
          </w:rPr>
          <w:t xml:space="preserve">https://www.britannica.com/money/accounting</w:t>
        </w:r>
      </w:hyperlink>
    </w:p>
    <w:p>
      <w:pPr>
        <w:spacing w:before="240" w:after="120"/>
      </w:pPr>
      <w:r>
        <w:rPr>
          <w:rFonts w:ascii="Calibri" w:hAnsi="Calibri" w:eastAsia="Calibri"/>
          <w:b/>
          <w:i w:val="0"/>
          <w:color w:val="004E8C"/>
          <w:sz w:val="24"/>
        </w:rPr>
        <w:t>J. 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Smithsonian Magazine. 'The Father of Accounting.'</w:t>
      </w:r>
      <w:hyperlink r:id="rId11">
        <w:r>
          <w:rPr>
            <w:color w:val="0563C1"/>
            <w:u w:val="single"/>
          </w:rPr>
          <w:t xml:space="preserve">https://www.smithsonianmag.com/history/the-father-of-accounting-180964072/</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money/double-entry-bookkeeping" TargetMode="External"/><Relationship Id="rId10" Type="http://schemas.openxmlformats.org/officeDocument/2006/relationships/hyperlink" Target="https://www.britannica.com/money/accounting" TargetMode="External"/><Relationship Id="rId11" Type="http://schemas.openxmlformats.org/officeDocument/2006/relationships/hyperlink" Target="https://www.smithsonianmag.com/history/the-father-of-accounting-1809640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1.20 Double-Entry Bookkeeping</dc:title>
  <dc:subject>1. Foundations of Civilisation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