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Silent corridor</w:t>
      </w:r>
    </w:p>
    <w:p>
      <w:pPr>
        <w:jc w:val="left"/>
      </w:pPr>
      <w:r>
        <w:rPr>
          <w:rFonts w:ascii="Arial" w:hAnsi="Arial" w:eastAsia="Arial"/>
          <w:i w:val="0"/>
          <w:color w:val="000000"/>
          <w:sz w:val="22"/>
        </w:rPr>
        <w:t>There were two organizations working together — one was the sponsor, the other was the project development agency.</w:t>
      </w:r>
    </w:p>
    <w:p>
      <w:pPr>
        <w:jc w:val="left"/>
      </w:pPr>
      <w:r>
        <w:rPr>
          <w:rFonts w:ascii="Arial" w:hAnsi="Arial" w:eastAsia="Arial"/>
          <w:i w:val="0"/>
          <w:color w:val="000000"/>
          <w:sz w:val="22"/>
        </w:rPr>
        <w:t>The project team worked tirelessly for months, carefully polishing the documents, and one day, when everything was ready, they sent the materials to the sponsor and began to wait for a response. Days passed, weeks passed. The result — silence.</w:t>
      </w:r>
    </w:p>
    <w:p>
      <w:pPr>
        <w:jc w:val="left"/>
      </w:pPr>
      <w:r>
        <w:rPr>
          <w:rFonts w:ascii="Arial" w:hAnsi="Arial" w:eastAsia="Arial"/>
          <w:i w:val="0"/>
          <w:color w:val="000000"/>
          <w:sz w:val="22"/>
        </w:rPr>
        <w:t>The uncertainty within the team grew, spreading like a shadow along the corridor:</w:t>
      </w:r>
    </w:p>
    <w:p>
      <w:pPr>
        <w:jc w:val="left"/>
      </w:pPr>
      <w:r>
        <w:rPr>
          <w:rFonts w:ascii="Arial" w:hAnsi="Arial" w:eastAsia="Arial"/>
          <w:i w:val="0"/>
          <w:color w:val="000000"/>
          <w:sz w:val="22"/>
        </w:rPr>
        <w:t>“Have the documents arrived? Have they been reviewed?”</w:t>
      </w:r>
    </w:p>
    <w:p>
      <w:pPr>
        <w:jc w:val="left"/>
      </w:pPr>
      <w:r>
        <w:rPr>
          <w:rFonts w:ascii="Arial" w:hAnsi="Arial" w:eastAsia="Arial"/>
          <w:i w:val="0"/>
          <w:color w:val="000000"/>
          <w:sz w:val="22"/>
        </w:rPr>
        <w:t>No one had any clear information. And requests to the sponsor only brought vague, vague answers.</w:t>
      </w:r>
    </w:p>
    <w:p>
      <w:pPr>
        <w:jc w:val="left"/>
      </w:pPr>
      <w:r>
        <w:rPr>
          <w:rFonts w:ascii="Arial" w:hAnsi="Arial" w:eastAsia="Arial"/>
          <w:i w:val="0"/>
          <w:color w:val="000000"/>
          <w:sz w:val="22"/>
        </w:rPr>
        <w:t>A few months later, the team decided to go directly to the sponsor’s office to clarify the matter. There, the truth finally emerged:</w:t>
      </w:r>
    </w:p>
    <w:p>
      <w:pPr>
        <w:jc w:val="left"/>
      </w:pPr>
      <w:r>
        <w:rPr>
          <w:rFonts w:ascii="Arial" w:hAnsi="Arial" w:eastAsia="Arial"/>
          <w:i w:val="0"/>
          <w:color w:val="000000"/>
          <w:sz w:val="22"/>
        </w:rPr>
        <w:t>“Yes, the documents arrived. But we did not accept them. Because the submission form was incorrect and the official procedure was not followed.”</w:t>
      </w:r>
    </w:p>
    <w:p>
      <w:pPr>
        <w:jc w:val="left"/>
      </w:pPr>
      <w:r>
        <w:rPr>
          <w:rFonts w:ascii="Arial" w:hAnsi="Arial" w:eastAsia="Arial"/>
          <w:i w:val="0"/>
          <w:color w:val="000000"/>
          <w:sz w:val="22"/>
        </w:rPr>
        <w:t>The team froze in place.</w:t>
      </w:r>
    </w:p>
    <w:p>
      <w:pPr>
        <w:jc w:val="left"/>
      </w:pPr>
      <w:r>
        <w:rPr>
          <w:rFonts w:ascii="Arial" w:hAnsi="Arial" w:eastAsia="Arial"/>
          <w:i w:val="0"/>
          <w:color w:val="000000"/>
          <w:sz w:val="22"/>
        </w:rPr>
        <w:t>“Why didn’t you tell us that?” they asked.</w:t>
      </w:r>
    </w:p>
    <w:p>
      <w:pPr>
        <w:jc w:val="left"/>
      </w:pPr>
      <w:r>
        <w:rPr>
          <w:rFonts w:ascii="Arial" w:hAnsi="Arial" w:eastAsia="Arial"/>
          <w:i w:val="0"/>
          <w:color w:val="000000"/>
          <w:sz w:val="22"/>
        </w:rPr>
        <w:t>“We could have fixed everything in a short time.”...</w:t>
      </w:r>
    </w:p>
    <w:p>
      <w:pPr>
        <w:jc w:val="left"/>
      </w:pPr>
      <w:r>
        <w:rPr>
          <w:rFonts w:ascii="Arial" w:hAnsi="Arial" w:eastAsia="Arial"/>
          <w:i w:val="0"/>
          <w:color w:val="000000"/>
          <w:sz w:val="22"/>
        </w:rPr>
        <w:t>Frustrated, the employees returned to the office and complained to their management:</w:t>
      </w:r>
    </w:p>
    <w:p>
      <w:pPr>
        <w:jc w:val="left"/>
      </w:pPr>
      <w:r>
        <w:rPr>
          <w:rFonts w:ascii="Arial" w:hAnsi="Arial" w:eastAsia="Arial"/>
          <w:i w:val="0"/>
          <w:color w:val="000000"/>
          <w:sz w:val="22"/>
        </w:rPr>
        <w:t>“If we had been actively monitoring the process, checking in on the status regularly, and communicating clearly, this misunderstanding would never have happened. We wasted time, wasted energy, and lost trust—all because the hallway between us was silent.”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When communication is unclear, even the best work can go unnoticed. When there is no consistent follow-up, even the strongest partnership can falter. In collaboration, the greatest enemy is often not failure—it is silence.</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Silent corridor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