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Dua gəlib tapsın səni</w:t>
      </w:r>
    </w:p>
    <w:p>
      <w:pPr>
        <w:spacing w:after="80"/>
      </w:pPr>
      <w:r>
        <w:t>Ağsaqqallarımız buyurublar ki, sən —</w:t>
      </w:r>
    </w:p>
    <w:p>
      <w:pPr>
        <w:keepNext/>
      </w:pPr>
      <w:r>
        <w:t>bir yoxsulun dayağı, bir fəqirin döyə biləcəyi qapı, bir yetimin başını sığallayan əl, bir uşağın ayağında başmaq ol. Darda qalana yol aç, işi çətinə düşənə kömək et ki, ehtiyac duyduğun dua özü gəlib səni tapsın.</w:t>
      </w:r>
    </w:p>
    <w:p>
      <w:pPr>
        <w:keepNext/>
        <w:keepLines/>
        <w:spacing w:before="160"/>
      </w:pPr>
      <w:r>
        <w:rPr>
          <w:b/>
        </w:rPr>
        <w:t>İbrət:</w:t>
      </w:r>
      <w:r>
        <w:t xml:space="preserve"> Möhtaca əl uzadan, yetimin başını sığallayan insan özü də duaya layiq olur. Yaxşılıq etdiyin əl bir gün sənə də açılar.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 gəlib tapsın səni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