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Keçmişdə yaşamaq</w:t>
      </w:r>
    </w:p>
    <w:p>
      <w:pPr>
        <w:keepNext/>
      </w:pPr>
      <w:r>
        <w:t>Keçmişdə yaşamaq arxaya baxa-baxa yerimək kimidir. Önünə baxmadığın üçün daim büdrəyib yıxılacaq, nə arxada qalanı dəyişə, nə də önündəki qapıları aça biləcəksən.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Daim arxaya baxan qabağındakı maneəni görməz. Keçəni qaytara bilməzsən; üzünü irəli çevir, qarşındakı imkanları gör.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Keçmişdə yaşamaq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