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Qab-qacağınızı yuyarkən dua edin</w:t>
      </w:r>
    </w:p>
    <w:p>
      <w:pPr/>
      <w:r>
        <w:t>Qab-qacağınızı yuyarkən dua edin. Yuyulacaq qablarınızın olduğu üçün şükür edin. Çünki bu, yeməyə bir şeyinizin olduğunu, kimisə doyurduğunuzu, kiminsə qayğısına qaldığınızı, yemək hazırlayıb süfrə açdığınızı göstərir.</w:t>
      </w:r>
    </w:p>
    <w:p>
      <w:pPr>
        <w:keepNext/>
        <w:spacing w:after="80"/>
      </w:pPr>
      <w:r>
        <w:t>O anda yuyulacaq bir qabı belə olmayan, süfrə açacağı heç kimi olmayan insanları düşünün.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Adi görünən nemətlərin də qədrini bil. Yuyulacaq qabın varsa, deməli, süfrənə yemək gəlib, kimisə doyurmusan. Şükür etməyi unutma.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Qab-qacağınızı yuyarkən dua edin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