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Bağışlamaq</w:t>
      </w:r>
    </w:p>
    <w:p>
      <w:pPr/>
      <w:r>
        <w:t>Birini bağışlamaq onu sevməli, onunla danışmalı, münasibəti davam etdirməli olduğun demək deyil. Bağışlamaq onun günahsız və ya haqlı olduğunu qəbul etmək də deyil.</w:t>
      </w:r>
    </w:p>
    <w:p>
      <w:pPr/>
      <w:r>
        <w:t>Bağışlamaq incikliyin, küskünlüyün və nifrətin əsarətindən qurtulmaq, köhnə yaranın ağrısından azad olmaqdır.</w:t>
      </w:r>
    </w:p>
    <w:p>
      <w:pPr>
        <w:keepNext/>
        <w:spacing w:after="80"/>
      </w:pPr>
      <w:r>
        <w:t>Bağışlayın, azad olun. Amma başınıza gələndən dərs alın ki, yenə eyni yerdən yaralanmayasınız.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Bağışlamaq qarşı tərəfi haqlı çıxarmaq deyil — kin və küskünlük zindanından özünü azad etməkdir. Əfv et və rahatla, amma dərsini də unutma.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Bağışlamaq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