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Chief Accountant and the CEO</w:t>
      </w:r>
    </w:p>
    <w:p>
      <w:pPr>
        <w:spacing w:after="80"/>
      </w:pPr>
      <w:r>
        <w:t>The chief accountant asked the CEO:</w:t>
      </w:r>
    </w:p>
    <w:p>
      <w:pPr>
        <w:spacing w:after="80"/>
      </w:pPr>
      <w:r>
        <w:t>“What if we spend time and money on our employees’ development, and then they leave?”</w:t>
      </w:r>
    </w:p>
    <w:p>
      <w:pPr>
        <w:spacing w:after="80"/>
      </w:pPr>
      <w:r>
        <w:t>The CEO replied:</w:t>
      </w:r>
    </w:p>
    <w:p>
      <w:pPr>
        <w:keepNext/>
        <w:spacing w:after="80"/>
      </w:pPr>
      <w:r>
        <w:t>“What if we spend neither time nor money on their development, and they stay?”</w:t>
      </w:r>
    </w:p>
    <w:p>
      <w:pPr>
        <w:keepNext/>
        <w:keepLines/>
        <w:spacing w:before="160"/>
      </w:pPr>
      <w:r>
        <w:rPr>
          <w:b/>
        </w:rPr>
        <w:t>Moral: Investing in people is not a waste. Saving on this today can lead to a much greater loss tomorrow.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Chief Accountant and the CEO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