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 Not Do These Things</w:t>
      </w:r>
    </w:p>
    <w:p>
      <w:pPr>
        <w:keepNext/>
      </w:pPr>
      <w:r>
        <w:t>Do not dwell on your wealth in front of someone who is poor, your health in front of someone who is ill, or your happiness in front of someone who is suffering. Do not speak of your freedom before a prisoner, your strength before someone weak, your child before someone who has none, or your parents before an orphan.</w:t>
      </w:r>
    </w:p>
    <w:p>
      <w:pPr>
        <w:keepNext/>
        <w:keepLines/>
        <w:spacing w:before="160"/>
      </w:pPr>
      <w:r>
        <w:rPr>
          <w:b/>
        </w:rPr>
        <w:t>Moral: Do not boast of a blessing someone else lacks and reopen their wound. They need understanding, not reminders of their sorrow.</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 Mindful of What You Say</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