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 You Have Spending Money?</w:t>
      </w:r>
    </w:p>
    <w:p>
      <w:pPr>
        <w:keepNext/>
      </w:pPr>
      <w:r>
        <w:t>Value your parents while they are alive. Instead of merely asking, “Do you have spending money?” do what you can to meet their needs. No one can take their place.</w:t>
      </w:r>
    </w:p>
    <w:p>
      <w:pPr>
        <w:keepNext/>
        <w:keepLines/>
        <w:spacing w:before="160"/>
      </w:pPr>
      <w:r>
        <w:rPr>
          <w:b/>
        </w:rPr>
        <w:t>Moral: Value your parents while they are alive, and meet their needs with deeds, not words. No one and nothing can replace them.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You Have Enough Money?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