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We Express Sorrow</w:t>
      </w:r>
    </w:p>
    <w:p>
      <w:pPr>
        <w:keepNext/>
      </w:pPr>
      <w:r>
        <w:t>One who merely tells their sorrow is a sorrowful person; one who expresses it in beautiful words is a writer; one who conveys it through their bearing is a lover; one who hides it with a smile is a sage.</w:t>
      </w:r>
    </w:p>
    <w:p>
      <w:pPr>
        <w:keepNext/>
        <w:keepLines/>
        <w:spacing w:before="160"/>
      </w:pPr>
      <w:r>
        <w:rPr>
          <w:b/>
        </w:rPr>
        <w:t>Moral: People carry their sorrow in different ways: some talk, some write, some keep quiet and smile. The deepest sorrow is often hidden in the deepest silence.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We Express Sorrow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