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Garden and the Gardener</w:t>
      </w:r>
    </w:p>
    <w:p>
      <w:pPr>
        <w:spacing w:after="80"/>
      </w:pPr>
      <w:r>
        <w:t>A teacher said to his students:</w:t>
      </w:r>
    </w:p>
    <w:p>
      <w:pPr>
        <w:spacing w:after="80"/>
      </w:pPr>
      <w:r>
        <w:t>“Picture a gardener tending a garden. Can you see it?”</w:t>
      </w:r>
    </w:p>
    <w:p>
      <w:pPr>
        <w:spacing w:after="80"/>
      </w:pPr>
      <w:r>
        <w:t>“Yes,” they replied.</w:t>
      </w:r>
    </w:p>
    <w:p>
      <w:pPr>
        <w:spacing w:after="80"/>
      </w:pPr>
      <w:r>
        <w:t>The teacher says in a serious voice:</w:t>
      </w:r>
    </w:p>
    <w:p>
      <w:pPr>
        <w:keepNext/>
      </w:pPr>
      <w:r>
        <w:t>“Remember this: it would be wrong to say the garden grew thanks to the gardener. But it would be just as wrong to say it grew entirely by itself.”</w:t>
      </w:r>
    </w:p>
    <w:p>
      <w:pPr>
        <w:keepNext/>
        <w:keepLines/>
        <w:spacing w:before="160"/>
      </w:pPr>
      <w:r>
        <w:rPr>
          <w:b/>
        </w:rPr>
        <w:t>Moral: Recognize both your own efforts and the help you receive. No one grows entirely alone or entirely through the work of others.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Garden and the Gardener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