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Generous Man</w:t>
      </w:r>
    </w:p>
    <w:p>
      <w:pPr>
        <w:spacing w:after="80"/>
      </w:pPr>
      <w:r>
        <w:t>A generous man was once asked:</w:t>
      </w:r>
    </w:p>
    <w:p>
      <w:pPr>
        <w:spacing w:after="80"/>
      </w:pPr>
      <w:r>
        <w:t>“Do you expect the poor to be grateful to you for the blessings you distribute to them?”</w:t>
      </w:r>
    </w:p>
    <w:p>
      <w:pPr>
        <w:spacing w:after="80"/>
      </w:pPr>
      <w:r>
        <w:t>He replied:</w:t>
      </w:r>
    </w:p>
    <w:p>
      <w:pPr>
        <w:keepNext/>
        <w:spacing w:after="80"/>
      </w:pPr>
      <w:r>
        <w:t>“I am like a ladle in a cook’s hand. The ladle serves the food, but the gift comes from the cook.”</w:t>
      </w:r>
    </w:p>
    <w:p>
      <w:pPr>
        <w:keepNext/>
        <w:keepLines/>
        <w:spacing w:before="160"/>
      </w:pPr>
      <w:r>
        <w:rPr>
          <w:b/>
        </w:rPr>
        <w:t>Moral: Those who do good should not consider themselves the true owners of what they give. They are only instruments; the true Giver is Allah.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Generous Man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