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Go, but Come Again</w:t>
      </w:r>
    </w:p>
    <w:p>
      <w:pPr>
        <w:keepNext/>
      </w:pPr>
      <w:r>
        <w:t>In an Ottoman custom, hosts who wanted their guests to come again placed the guests’ shoes at the door with their toes pointing into the house. When the guest left the house, he seemed to walk backwards. The gesture meant, “Go, but come again.”</w:t>
      </w:r>
    </w:p>
    <w:p>
      <w:pPr>
        <w:keepNext/>
        <w:keepLines/>
        <w:spacing w:before="160"/>
      </w:pPr>
      <w:r>
        <w:rPr>
          <w:b/>
        </w:rPr>
        <w:t>Moral: A subtle gesture can convey great kindness. The value given to a person is often seen in small moments.</w:t>
      </w:r>
      <w:r/>
    </w:p>
    <w:p>
      <w:pPr>
        <w:spacing w:after="80"/>
      </w:pPr>
      <w:r>
        <w:rPr>
          <w:i/>
          <w:sz w:val="18"/>
        </w:rPr>
        <w:t>Stories are taken from open Internet sources; illustrations were created with AI.</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Again Soon</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