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 Hand Is at Work</w:t>
      </w:r>
    </w:p>
    <w:p>
      <w:pPr/>
      <w:r>
        <w:t>A man bought ten eggs for ten qepiks and sold them for nine. When acquaintances asked the purpose of this strange trade, he replied:</w:t>
      </w:r>
    </w:p>
    <w:p>
      <w:pPr>
        <w:keepNext/>
      </w:pPr>
      <w:r>
        <w:t>“Never mind the loss. As long as people see me trading, they think I’m a merchant. At least everyone can see that I’m working.”</w:t>
      </w:r>
    </w:p>
    <w:p>
      <w:pPr>
        <w:keepNext/>
        <w:keepLines/>
        <w:spacing w:before="160"/>
      </w:pPr>
      <w:r>
        <w:rPr>
          <w:b/>
        </w:rPr>
        <w:t>Moral: Doing meaningless work purely for the sake of appearances brings harm. Looking busy does not bring real benefit.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 Least I Look Busy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