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We Treat People</w:t>
      </w:r>
    </w:p>
    <w:p>
      <w:pPr>
        <w:spacing w:after="80"/>
      </w:pPr>
      <w:r>
        <w:t>Let your attitude toward people be like your attitude toward a fire:</w:t>
      </w:r>
    </w:p>
    <w:p>
      <w:pPr>
        <w:spacing w:after="80"/>
      </w:pPr>
      <w:r>
        <w:t>don't go too far away lest you freeze;</w:t>
      </w:r>
    </w:p>
    <w:p>
      <w:pPr>
        <w:spacing w:after="80"/>
      </w:pPr>
      <w:r>
        <w:t>don't come too close lest you burn.</w:t>
      </w:r>
    </w:p>
    <w:p>
      <w:pPr>
        <w:keepNext/>
        <w:spacing w:after="80"/>
      </w:pPr>
      <w:r>
        <w:t>Saadi Shirazi</w:t>
      </w:r>
    </w:p>
    <w:p>
      <w:pPr>
        <w:keepNext/>
        <w:keepLines/>
        <w:spacing w:before="160"/>
      </w:pPr>
      <w:r>
        <w:rPr>
          <w:b/>
        </w:rPr>
        <w:t>Moral: Relationships need balance. Keep a measure: do not draw so far away that you grow cold, and do not come so close that you burn.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Keeping the Right Distance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