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Is in Vain</w:t>
      </w:r>
    </w:p>
    <w:p>
      <w:pPr>
        <w:keepNext/>
        <w:spacing w:after="80"/>
      </w:pPr>
      <w:r>
        <w:t>It is futile to advise a fool, to argue with an ignorant person, to befriend a two-faced person.</w:t>
      </w:r>
    </w:p>
    <w:p>
      <w:pPr>
        <w:keepNext/>
        <w:keepLines/>
        <w:spacing w:before="160"/>
      </w:pPr>
      <w:r>
        <w:rPr>
          <w:b/>
        </w:rPr>
        <w:t>Moral: When you choose whom to spend time with, you also choose how you will live your life. Time spent arguing with the ignorant and on friendship with the two-faced is wasted.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Wasted Effort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