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 Your Friend</w:t>
      </w:r>
    </w:p>
    <w:p>
      <w:pPr>
        <w:keepNext/>
      </w:pPr>
      <w:r>
        <w:t>To know a friend’s character, watch how they face trouble, hardship, and a quarrel. Then see how they act when their own interests are at stake.</w:t>
      </w:r>
    </w:p>
    <w:p>
      <w:pPr>
        <w:keepNext/>
        <w:keepLines/>
        <w:spacing w:before="160"/>
      </w:pPr>
      <w:r>
        <w:rPr>
          <w:b/>
        </w:rPr>
        <w:t>Moral: A friend is known in trouble, in hardship, and in the test of advantage. Everyone is a friend in good times; a true friend is revealed in adversity.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 Your Friend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