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Lawful Morsel</w:t>
      </w:r>
    </w:p>
    <w:p>
      <w:pPr/>
      <w:r>
        <w:t>Fresh flour and clean water cannot make good dough if the yeast is spoiled. Nor can such dough produce good bread.</w:t>
      </w:r>
    </w:p>
    <w:p>
      <w:pPr/>
      <w:r>
        <w:t>To raise a child of good character, one must nourish that child with a lawful morsel.</w:t>
      </w:r>
    </w:p>
    <w:p>
      <w:pPr>
        <w:keepNext/>
        <w:spacing w:after="80"/>
      </w:pPr>
      <w:r>
        <w:t>— Imam al-Ghazali</w:t>
      </w:r>
    </w:p>
    <w:p>
      <w:pPr>
        <w:keepNext/>
        <w:keepLines/>
        <w:spacing w:before="160"/>
      </w:pPr>
      <w:r>
        <w:rPr>
          <w:b/>
        </w:rPr>
        <w:t>Moral: A child’s moral formation begins with the food placed on the family table. Lawful earnings and clean sustenance are the foundation of sound character.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Lawful Morsel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