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May the Prayer You Need Find You</w:t>
      </w:r>
    </w:p>
    <w:p>
      <w:pPr>
        <w:spacing w:after="80"/>
      </w:pPr>
      <w:r>
        <w:t>Our elders used to say:</w:t>
      </w:r>
    </w:p>
    <w:p>
      <w:pPr>
        <w:keepNext/>
      </w:pPr>
      <w:r>
        <w:t>Be a support to a poor person, a door a destitute person can knock on, a hand that strokes an orphan’s head, and shoes on a child’s feet. Open a way for the one in distress, and help the one whose affairs have grown difficult, so that a prayer may find you when you need one yourself.</w:t>
      </w:r>
    </w:p>
    <w:p>
      <w:pPr>
        <w:keepNext/>
        <w:keepLines/>
        <w:spacing w:before="160"/>
      </w:pPr>
      <w:r>
        <w:rPr>
          <w:b/>
        </w:rPr>
        <w:t>Moral: When you help those in need and stroke an orphan’s head, you become worthy of others’ prayers. The hand with which you do good will one day open toward you as well.</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 the Prayer You Need Find You</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