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Light of the Universe</w:t>
      </w:r>
    </w:p>
    <w:p>
      <w:pPr/>
      <w:r>
        <w:t>The British painter William Holman Hunt’s work “The Light of the Universe” is exhibited at the Royal Academy in London. It shows a philosophical-looking man standing before a door at night, holding a lantern in one hand, knocking with the other, and waiting in hope that it will open.</w:t>
      </w:r>
    </w:p>
    <w:p>
      <w:pPr/>
      <w:r>
        <w:t>An art critic asked him, “It’s a beautiful painting, but I cannot understand its meaning. Will the door he is knocking on never open? Have you forgotten to paint a handle?”</w:t>
      </w:r>
    </w:p>
    <w:p>
      <w:pPr>
        <w:keepNext/>
      </w:pPr>
      <w:r>
        <w:t>Hunt replied with a smile, “This is no ordinary door. It is the door of the human heart, and it opens only from within. There is no handle outside. If the one inside does not open it, you cannot enter.”</w:t>
      </w:r>
    </w:p>
    <w:p>
      <w:pPr>
        <w:keepNext/>
        <w:keepLines/>
        <w:spacing w:before="160"/>
      </w:pPr>
      <w:r>
        <w:rPr>
          <w:b/>
        </w:rPr>
        <w:t>Moral: The door of the heart opens only from the inside. Love and goodness do not force their way in - you must let them in yourself.</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Door of the Heart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