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Living in the Past</w:t>
      </w:r>
    </w:p>
    <w:p>
      <w:pPr>
        <w:keepNext/>
      </w:pPr>
      <w:r>
        <w:t>Living in the past is like walking while looking behind you. With your eyes turned away from the road ahead, you will keep stumbling and falling, unable either to change what lies behind you or to open the doors in front of you.</w:t>
      </w:r>
    </w:p>
    <w:p>
      <w:pPr>
        <w:keepNext/>
        <w:keepLines/>
        <w:spacing w:before="160" w:after="80"/>
      </w:pPr>
      <w:r>
        <w:rPr>
          <w:b/>
        </w:rPr>
        <w:t>Moral: Someone who always looks back does not see the obstacle in front. You cannot bring the past back; turn your face forward and see the opportunities before you.</w:t>
      </w:r>
      <w:r/>
    </w:p>
    <w:p>
      <w:pPr>
        <w:spacing w:after="80"/>
      </w:pPr>
      <w:r>
        <w:rPr>
          <w:i/>
          <w:sz w:val="18"/>
        </w:rPr>
        <w:t>Stories are taken from open Internet sources; illustrations were created with AI.</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Living in the Past</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