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Newton’s Second Law</w:t>
      </w:r>
    </w:p>
    <w:p>
      <w:pPr>
        <w:keepNext/>
      </w:pPr>
      <w:r>
        <w:t>A physics teacher returned to the staff room after class. “How brainless these students are!” he complained to his colleagues. “I explained Newton’s second law three times. By the third time, even I understood it—but they still didn’t!”</w:t>
      </w:r>
    </w:p>
    <w:p>
      <w:pPr>
        <w:keepNext/>
        <w:keepLines/>
        <w:spacing w:before="160"/>
      </w:pPr>
      <w:r>
        <w:rPr>
          <w:b/>
        </w:rPr>
        <w:t>Moral: Before teaching a subject, make sure you understand it yourself. Explaining something you do not understand helps neither the teacher nor the student.</w:t>
      </w:r>
      <w:r/>
    </w:p>
    <w:p>
      <w:pPr>
        <w:spacing w:after="80"/>
      </w:pPr>
      <w:r>
        <w:rPr>
          <w:i/>
          <w:sz w:val="18"/>
        </w:rPr>
        <w:t>Stories are taken from open Internet sources; illustrations were created with AI.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Newton’s Second Law</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