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 Every Sorrow Is Told to People</w:t>
      </w:r>
    </w:p>
    <w:p>
      <w:pPr>
        <w:spacing w:after="80"/>
      </w:pPr>
      <w:r>
        <w:t>Not every sorrow should be shared with everyone.</w:t>
      </w:r>
    </w:p>
    <w:p>
      <w:pPr>
        <w:keepNext/>
        <w:spacing w:after="80"/>
      </w:pPr>
      <w:r>
        <w:t>A day will come when they strike you with that very sorrow.</w:t>
      </w:r>
    </w:p>
    <w:p>
      <w:pPr>
        <w:keepNext/>
        <w:keepLines/>
        <w:spacing w:before="160" w:after="80"/>
      </w:pPr>
      <w:r>
        <w:rPr>
          <w:b/>
        </w:rPr>
        <w:t>Moral: Do not open your sorrow to everyone; a day will come when they hurt you with it. Choose carefully whom you tell.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Choose Your Confidants Carefully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