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 Organization Without an Action Plan</w:t>
      </w:r>
    </w:p>
    <w:p>
      <w:pPr/>
      <w:r>
        <w:t>An organization without an action plan is like a ship that knows its destination but has no chart, no chosen route, and no assigned duties for its crew. It may reach port through luck, a skillful captain, or favorable weather. But reaching port would be the result of chance, not of systematic management. Lasting success needs more than fortunate circumstances: it requires careful planning and consistent action.</w:t>
      </w:r>
    </w:p>
    <w:p>
      <w:pPr>
        <w:keepNext/>
      </w:pPr>
      <w:r>
        <w:t>Over time, an organization without a plan also begins to lose its members. People are sustained not only by ideas, but by the hope of seeing those ideas put into practice. When hope fades, people leave; when people leave, the organization gradually weakens and eventually ceases to function.</w:t>
      </w:r>
    </w:p>
    <w:p>
      <w:pPr>
        <w:keepNext/>
        <w:keepLines/>
        <w:spacing w:before="160"/>
      </w:pPr>
      <w:r>
        <w:rPr>
          <w:b/>
        </w:rPr>
        <w:t>Moral: A goal provides direction; a plan defines the path toward it. An organization may advance by chance without a plan, but lasting success requires deliberate and consistent action.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Organization Without an Action Plan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