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Pawn and the King</w:t>
      </w:r>
    </w:p>
    <w:p>
      <w:pPr>
        <w:spacing w:after="80"/>
      </w:pPr>
      <w:r>
        <w:t>Do not look down on a pawn.</w:t>
      </w:r>
    </w:p>
    <w:p>
      <w:pPr>
        <w:spacing w:after="80"/>
      </w:pPr>
      <w:r>
        <w:t>One day, it may become a king.</w:t>
      </w:r>
    </w:p>
    <w:p>
      <w:pPr>
        <w:spacing w:after="80"/>
      </w:pPr>
      <w:r>
        <w:t>Do not feel safe merely because you are a king.</w:t>
      </w:r>
    </w:p>
    <w:p>
      <w:pPr>
        <w:keepNext/>
        <w:spacing w:after="80"/>
      </w:pPr>
      <w:r>
        <w:t>One day, you may be checkmated.</w:t>
      </w:r>
    </w:p>
    <w:p>
      <w:pPr>
        <w:keepNext/>
        <w:keepLines/>
        <w:spacing w:before="160"/>
      </w:pPr>
      <w:r>
        <w:rPr>
          <w:b/>
        </w:rPr>
        <w:t>Moral: Do not underestimate the humble or place too much faith in rank. A pawn can rise, and a king can fall.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Pawn and the King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