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Ramadan Prayer</w:t>
      </w:r>
    </w:p>
    <w:p>
      <w:pPr/>
      <w:r>
        <w:t>May Almighty Allah accept our prayers, bless our sustenance, heal our sick, forgive our sins, open doors of goodness before us, and fill our hearts with love and mercy.</w:t>
      </w:r>
    </w:p>
    <w:p>
      <w:pPr>
        <w:keepNext/>
        <w:spacing w:after="80"/>
      </w:pPr>
      <w:r>
        <w:t>May your Eid al-Fitr be blessed!</w:t>
      </w:r>
    </w:p>
    <w:p>
      <w:pPr>
        <w:keepNext/>
        <w:keepLines/>
        <w:spacing w:before="160"/>
      </w:pPr>
      <w:r>
        <w:rPr>
          <w:b/>
        </w:rPr>
        <w:t>Moral: Sincere prayer fills the heart with hope and mercy. The wish for blessings, healing, and forgiveness brings a person closer to the Creator.</w:t>
      </w:r>
      <w:r/>
    </w:p>
    <w:p>
      <w:pPr>
        <w:spacing w:after="80"/>
      </w:pPr>
      <w:r>
        <w:rPr>
          <w:i/>
          <w:sz w:val="18"/>
        </w:rPr>
        <w:t>Stories are taken from open Internet sources; illustrations were created with AI.</w:t>
      </w:r>
    </w:p>
    <w:sectPr w:rsidR="00FC693F" w:rsidRPr="0006063C" w:rsidSect="00034616">
      <w:pgSz w:w="12240" w:h="15840"/>
      <w:pgMar w:top="1080" w:right="1224" w:bottom="1080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after="120" w:line="259" w:lineRule="auto"/>
    </w:pPr>
    <w:rPr>
      <w:rFonts w:ascii="Arial" w:hAnsi="Arial"/>
      <w:color w:val="000000"/>
      <w:sz w:val="22"/>
      <w:lang w:val="en-US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spacing w:after="280" w:line="240" w:lineRule="auto"/>
      <w:contextualSpacing/>
    </w:pPr>
    <w:rPr>
      <w:rFonts w:asciiTheme="majorHAnsi" w:eastAsiaTheme="majorEastAsia" w:hAnsiTheme="majorHAnsi" w:cstheme="majorBidi" w:ascii="Arial" w:hAnsi="Arial"/>
      <w:b/>
      <w:color w:val="000000"/>
      <w:spacing w:val="5"/>
      <w:kern w:val="28"/>
      <w:sz w:val="3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Ramadan Prayer</dc:title>
  <dc:subject/>
  <dc:creator/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